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464"/>
        <w:gridCol w:w="679"/>
        <w:gridCol w:w="697"/>
        <w:gridCol w:w="3848"/>
        <w:gridCol w:w="3702"/>
      </w:tblGrid>
      <w:tr w:rsidR="000539E9" w:rsidRPr="000539E9" w:rsidTr="000539E9">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ANC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Exhibit #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Subtitle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Comment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Response </w:t>
            </w:r>
          </w:p>
        </w:tc>
      </w:tr>
      <w:tr w:rsidR="000539E9" w:rsidRPr="000539E9" w:rsidTr="00BE1B1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3/4G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59, 60, 61 </w:t>
            </w:r>
          </w:p>
        </w:tc>
        <w:tc>
          <w:tcPr>
            <w:tcW w:w="0" w:type="auto"/>
            <w:tcBorders>
              <w:top w:val="single" w:sz="4" w:space="0" w:color="211C1E"/>
              <w:left w:val="single" w:sz="4" w:space="0" w:color="211C1E"/>
              <w:bottom w:val="single" w:sz="4" w:space="0" w:color="211C1E"/>
              <w:right w:val="single" w:sz="4" w:space="0" w:color="211E1E"/>
            </w:tcBorders>
            <w:vAlign w:val="center"/>
            <w:hideMark/>
          </w:tcPr>
          <w:p w:rsidR="000539E9" w:rsidRPr="000539E9" w:rsidRDefault="000539E9" w:rsidP="000539E9">
            <w:pPr>
              <w:rPr>
                <w:rFonts w:ascii="Times New Roman" w:hAnsi="Times New Roman" w:cs="Times New Roman"/>
              </w:rPr>
            </w:pPr>
            <w:r w:rsidRPr="000539E9">
              <w:rPr>
                <w:rFonts w:ascii="TimesNewRomanPSMT" w:hAnsi="TimesNewRomanPSMT" w:cs="TimesNewRomanPSMT"/>
                <w:sz w:val="20"/>
                <w:szCs w:val="20"/>
              </w:rPr>
              <w:t xml:space="preserve">Y </w:t>
            </w:r>
          </w:p>
        </w:tc>
        <w:tc>
          <w:tcPr>
            <w:tcW w:w="0" w:type="auto"/>
            <w:tcBorders>
              <w:top w:val="single" w:sz="4" w:space="0" w:color="211E1E"/>
              <w:left w:val="single" w:sz="4" w:space="0" w:color="211E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Subtitle Y § 604.8 should be amended to read "For purposes of this chapter, a decision or order shall be and become final upon its filing in the record and service upon the parties within XXX days [45, 60, 90 days].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This recommendation has not been incorporated into the adopted regulations. Board orders are served upon the parties at the same time that the order is issued. There is no reason to specify a time period. </w:t>
            </w:r>
          </w:p>
        </w:tc>
      </w:tr>
      <w:tr w:rsidR="000539E9" w:rsidRPr="000539E9" w:rsidTr="00BE1B1C">
        <w:tc>
          <w:tcPr>
            <w:tcW w:w="0" w:type="auto"/>
            <w:tcBorders>
              <w:top w:val="single" w:sz="4" w:space="0" w:color="211E1E"/>
              <w:left w:val="single" w:sz="4" w:space="0" w:color="211C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3/4G </w:t>
            </w:r>
          </w:p>
        </w:tc>
        <w:tc>
          <w:tcPr>
            <w:tcW w:w="0" w:type="auto"/>
            <w:tcBorders>
              <w:top w:val="single" w:sz="4" w:space="0" w:color="211C1E"/>
              <w:left w:val="single" w:sz="4" w:space="0" w:color="211E1E"/>
              <w:bottom w:val="single" w:sz="4" w:space="0" w:color="211C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59, 60, 61 </w:t>
            </w:r>
          </w:p>
        </w:tc>
        <w:tc>
          <w:tcPr>
            <w:tcW w:w="0" w:type="auto"/>
            <w:tcBorders>
              <w:top w:val="single" w:sz="4" w:space="0" w:color="211C1E"/>
              <w:left w:val="single" w:sz="4" w:space="0" w:color="211E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D </w:t>
            </w:r>
          </w:p>
        </w:tc>
        <w:tc>
          <w:tcPr>
            <w:tcW w:w="0" w:type="auto"/>
            <w:tcBorders>
              <w:top w:val="single" w:sz="4" w:space="0" w:color="211E1E"/>
              <w:left w:val="single" w:sz="4" w:space="0" w:color="211C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Subtitle D § 205.1 The draft regulations provide that "a front setback shall be provided in the R-1, R-2, R-3, and R-4 zone that is within the range of existing front setbacks of all structures on the same side of the street in the block where the building is proposed." This is a welcome concept - to maintain a relatively uniform front setback line on any given block, but we suggest some definition to the phrase "within the range." Specifically, Subtitle D § 205.1 should cross reference Subtitle C § 1002.1, which provides further specific guidance in this respect. </w:t>
            </w:r>
          </w:p>
        </w:tc>
        <w:tc>
          <w:tcPr>
            <w:tcW w:w="0" w:type="auto"/>
            <w:tcBorders>
              <w:top w:val="single" w:sz="4" w:space="0" w:color="211E1E"/>
              <w:left w:val="single" w:sz="4" w:space="0" w:color="211E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Subtitle B provides general rules of </w:t>
            </w:r>
          </w:p>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 w:hAnsi="TimesNewRoman" w:cs="Times New Roman"/>
                <w:sz w:val="20"/>
                <w:szCs w:val="20"/>
              </w:rPr>
              <w:t xml:space="preserve">measurement and § 314.2 states, “By an “existing range of blockface” cited </w:t>
            </w:r>
            <w:r w:rsidRPr="000539E9">
              <w:rPr>
                <w:rFonts w:ascii="TimesNewRomanPSMT" w:hAnsi="TimesNewRomanPSMT" w:cs="TimesNewRomanPSMT"/>
                <w:sz w:val="20"/>
                <w:szCs w:val="20"/>
              </w:rPr>
              <w:t xml:space="preserve">for a zone; buildings and structures in the zone must be setback between from the street lot line by at least as much as the existing building on the blockface closest to the street, and no more than the existing building on the blockface </w:t>
            </w:r>
            <w:r w:rsidRPr="000539E9">
              <w:rPr>
                <w:rFonts w:ascii="TimesNewRoman" w:hAnsi="TimesNewRoman" w:cs="Times New Roman"/>
                <w:sz w:val="20"/>
                <w:szCs w:val="20"/>
              </w:rPr>
              <w:t xml:space="preserve">furthest from the street.” </w:t>
            </w:r>
          </w:p>
        </w:tc>
      </w:tr>
      <w:tr w:rsidR="000539E9" w:rsidRPr="000539E9" w:rsidTr="00BE1B1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3/4G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980 </w:t>
            </w:r>
          </w:p>
        </w:tc>
        <w:tc>
          <w:tcPr>
            <w:tcW w:w="0" w:type="auto"/>
            <w:tcBorders>
              <w:top w:val="single" w:sz="4" w:space="0" w:color="211C1E"/>
              <w:left w:val="single" w:sz="4" w:space="0" w:color="211C1E"/>
              <w:bottom w:val="single" w:sz="4" w:space="0" w:color="211C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U </w:t>
            </w:r>
          </w:p>
        </w:tc>
        <w:tc>
          <w:tcPr>
            <w:tcW w:w="0" w:type="auto"/>
            <w:tcBorders>
              <w:top w:val="single" w:sz="4" w:space="0" w:color="211E1E"/>
              <w:left w:val="single" w:sz="4" w:space="0" w:color="211E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 253.2 - Objects to the new provision of accessory apartments being allowed in accessory buildings, such as above a garage or storage building. However, this ANC is in favor of allowing accessory apartments in the principal building with the provisions being currently proposed in the Regulations.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The Commission understands the ANC</w:t>
            </w:r>
            <w:r w:rsidRPr="000539E9">
              <w:rPr>
                <w:rFonts w:ascii="TimesNewRoman" w:hAnsi="TimesNewRoman" w:cs="Times New Roman"/>
                <w:sz w:val="20"/>
                <w:szCs w:val="20"/>
              </w:rPr>
              <w:t>’</w:t>
            </w:r>
            <w:r w:rsidRPr="000539E9">
              <w:rPr>
                <w:rFonts w:ascii="TimesNewRomanPSMT" w:hAnsi="TimesNewRomanPSMT" w:cs="TimesNewRomanPSMT"/>
                <w:sz w:val="20"/>
                <w:szCs w:val="20"/>
              </w:rPr>
              <w:t xml:space="preserve">s position, but believes that the special exception process, which will apply to any accessory apartments in new or expanded accessory buildings, will safeguard neighborhoods against any adverse impacts. </w:t>
            </w:r>
          </w:p>
        </w:tc>
      </w:tr>
      <w:tr w:rsidR="000539E9" w:rsidRPr="000539E9" w:rsidTr="00BE1B1C">
        <w:tc>
          <w:tcPr>
            <w:tcW w:w="0" w:type="auto"/>
            <w:tcBorders>
              <w:top w:val="single" w:sz="4" w:space="0" w:color="211E1E"/>
              <w:left w:val="single" w:sz="4" w:space="0" w:color="211C1E"/>
              <w:bottom w:val="single" w:sz="4" w:space="0" w:color="211C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3/4G </w:t>
            </w:r>
          </w:p>
        </w:tc>
        <w:tc>
          <w:tcPr>
            <w:tcW w:w="0" w:type="auto"/>
            <w:tcBorders>
              <w:top w:val="single" w:sz="4" w:space="0" w:color="211C1E"/>
              <w:left w:val="single" w:sz="4" w:space="0" w:color="211E1E"/>
              <w:bottom w:val="single" w:sz="4" w:space="0" w:color="211C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980 </w:t>
            </w:r>
          </w:p>
        </w:tc>
        <w:tc>
          <w:tcPr>
            <w:tcW w:w="0" w:type="auto"/>
            <w:tcBorders>
              <w:top w:val="single" w:sz="4" w:space="0" w:color="211C1E"/>
              <w:left w:val="single" w:sz="4" w:space="0" w:color="211E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B </w:t>
            </w:r>
          </w:p>
        </w:tc>
        <w:tc>
          <w:tcPr>
            <w:tcW w:w="0" w:type="auto"/>
            <w:tcBorders>
              <w:top w:val="single" w:sz="4" w:space="0" w:color="211E1E"/>
              <w:left w:val="single" w:sz="4" w:space="0" w:color="211C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The definition of a cellar was not changed as requested by the ANC in 2013. Currently "cellar" is defined as "that portion of a story, the ceiling of which is less than four feet above the adjacent finished grade." We request that this be amended to read "...above the existing grade." "Existing" is </w:t>
            </w:r>
          </w:p>
        </w:tc>
        <w:tc>
          <w:tcPr>
            <w:tcW w:w="0" w:type="auto"/>
            <w:tcBorders>
              <w:top w:val="single" w:sz="4" w:space="0" w:color="211E1E"/>
              <w:left w:val="single" w:sz="4" w:space="0" w:color="211E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This recommendation has not been incorporated into the adopted regulations. "Existing" is vague with respect to time; therefore, the regulations continue to use "finished" grade, which is defined. </w:t>
            </w:r>
          </w:p>
        </w:tc>
      </w:tr>
      <w:tr w:rsidR="000539E9" w:rsidRPr="000539E9" w:rsidTr="000A38E3">
        <w:tc>
          <w:tcPr>
            <w:tcW w:w="0" w:type="auto"/>
            <w:tcBorders>
              <w:top w:val="single" w:sz="4" w:space="0" w:color="211E1E"/>
              <w:left w:val="single" w:sz="4" w:space="0" w:color="211C1E"/>
              <w:bottom w:val="single" w:sz="4" w:space="0" w:color="211C1E"/>
              <w:right w:val="single" w:sz="4" w:space="0" w:color="211E1E"/>
            </w:tcBorders>
            <w:vAlign w:val="center"/>
          </w:tcPr>
          <w:p w:rsidR="000539E9" w:rsidRPr="000539E9" w:rsidRDefault="000539E9" w:rsidP="000539E9">
            <w:pPr>
              <w:spacing w:before="100" w:beforeAutospacing="1" w:after="100" w:afterAutospacing="1"/>
              <w:rPr>
                <w:rFonts w:ascii="Times New Roman" w:hAnsi="Times New Roman" w:cs="Times New Roman"/>
              </w:rPr>
            </w:pPr>
          </w:p>
        </w:tc>
        <w:tc>
          <w:tcPr>
            <w:tcW w:w="0" w:type="auto"/>
            <w:tcBorders>
              <w:top w:val="single" w:sz="4" w:space="0" w:color="211C1E"/>
              <w:left w:val="single" w:sz="4" w:space="0" w:color="211E1E"/>
              <w:bottom w:val="single" w:sz="4" w:space="0" w:color="211C1E"/>
              <w:right w:val="single" w:sz="4" w:space="0" w:color="211E1E"/>
            </w:tcBorders>
            <w:vAlign w:val="center"/>
          </w:tcPr>
          <w:p w:rsidR="000539E9" w:rsidRPr="000539E9" w:rsidRDefault="000539E9" w:rsidP="000539E9">
            <w:pPr>
              <w:spacing w:before="100" w:beforeAutospacing="1" w:after="100" w:afterAutospacing="1"/>
              <w:rPr>
                <w:rFonts w:ascii="Times New Roman" w:hAnsi="Times New Roman" w:cs="Times New Roman"/>
              </w:rPr>
            </w:pPr>
          </w:p>
        </w:tc>
        <w:tc>
          <w:tcPr>
            <w:tcW w:w="0" w:type="auto"/>
            <w:tcBorders>
              <w:top w:val="single" w:sz="4" w:space="0" w:color="211C1E"/>
              <w:left w:val="single" w:sz="4" w:space="0" w:color="211E1E"/>
              <w:bottom w:val="single" w:sz="4" w:space="0" w:color="211C1E"/>
              <w:right w:val="single" w:sz="4" w:space="0" w:color="211C1E"/>
            </w:tcBorders>
            <w:vAlign w:val="center"/>
          </w:tcPr>
          <w:p w:rsidR="000539E9" w:rsidRPr="000539E9" w:rsidRDefault="000539E9" w:rsidP="000539E9">
            <w:pPr>
              <w:spacing w:before="100" w:beforeAutospacing="1" w:after="100" w:afterAutospacing="1"/>
              <w:rPr>
                <w:rFonts w:ascii="Times New Roman" w:hAnsi="Times New Roman" w:cs="Times New Roman"/>
              </w:rPr>
            </w:pPr>
          </w:p>
        </w:tc>
        <w:tc>
          <w:tcPr>
            <w:tcW w:w="0" w:type="auto"/>
            <w:tcBorders>
              <w:top w:val="single" w:sz="4" w:space="0" w:color="211E1E"/>
              <w:left w:val="single" w:sz="4" w:space="0" w:color="211C1E"/>
              <w:bottom w:val="single" w:sz="4" w:space="0" w:color="211E1E"/>
              <w:right w:val="single" w:sz="4" w:space="0" w:color="211E1E"/>
            </w:tcBorders>
            <w:vAlign w:val="center"/>
          </w:tcPr>
          <w:p w:rsidR="000539E9" w:rsidRPr="000539E9" w:rsidRDefault="000539E9" w:rsidP="000539E9">
            <w:pPr>
              <w:spacing w:before="100" w:beforeAutospacing="1" w:after="100" w:afterAutospacing="1"/>
              <w:rPr>
                <w:rFonts w:ascii="Times New Roman" w:hAnsi="Times New Roman" w:cs="Times New Roman"/>
              </w:rPr>
            </w:pPr>
          </w:p>
        </w:tc>
        <w:tc>
          <w:tcPr>
            <w:tcW w:w="0" w:type="auto"/>
            <w:tcBorders>
              <w:top w:val="single" w:sz="4" w:space="0" w:color="211E1E"/>
              <w:left w:val="single" w:sz="4" w:space="0" w:color="211E1E"/>
              <w:bottom w:val="single" w:sz="4" w:space="0" w:color="211E1E"/>
              <w:right w:val="single" w:sz="4" w:space="0" w:color="211E1E"/>
            </w:tcBorders>
            <w:vAlign w:val="center"/>
          </w:tcPr>
          <w:p w:rsidR="000539E9" w:rsidRPr="000539E9" w:rsidRDefault="000539E9" w:rsidP="000539E9">
            <w:pPr>
              <w:spacing w:before="100" w:beforeAutospacing="1" w:after="100" w:afterAutospacing="1"/>
              <w:rPr>
                <w:rFonts w:ascii="Times New Roman" w:hAnsi="Times New Roman" w:cs="Times New Roman"/>
              </w:rPr>
            </w:pPr>
          </w:p>
        </w:tc>
      </w:tr>
    </w:tbl>
    <w:p w:rsidR="000539E9" w:rsidRDefault="000539E9" w:rsidP="000539E9">
      <w:pPr>
        <w:spacing w:before="100" w:beforeAutospacing="1" w:after="100" w:afterAutospacing="1"/>
        <w:ind w:left="5760"/>
        <w:jc w:val="right"/>
        <w:rPr>
          <w:rFonts w:ascii="TimesNewRomanPSMT" w:hAnsi="TimesNewRomanPSMT" w:cs="TimesNewRomanPSMT"/>
          <w:sz w:val="20"/>
          <w:szCs w:val="20"/>
        </w:rPr>
      </w:pPr>
    </w:p>
    <w:p w:rsidR="000539E9" w:rsidRDefault="000539E9" w:rsidP="000539E9">
      <w:pPr>
        <w:spacing w:before="100" w:beforeAutospacing="1" w:after="100" w:afterAutospacing="1"/>
        <w:ind w:left="5760"/>
        <w:jc w:val="right"/>
        <w:rPr>
          <w:rFonts w:ascii="TimesNewRomanPSMT" w:hAnsi="TimesNewRomanPSMT" w:cs="TimesNewRomanPSMT"/>
          <w:sz w:val="20"/>
          <w:szCs w:val="20"/>
        </w:rPr>
      </w:pPr>
    </w:p>
    <w:p w:rsidR="000539E9" w:rsidRDefault="000539E9" w:rsidP="000539E9">
      <w:pPr>
        <w:spacing w:before="100" w:beforeAutospacing="1" w:after="100" w:afterAutospacing="1"/>
        <w:ind w:left="5760"/>
        <w:jc w:val="right"/>
        <w:rPr>
          <w:rFonts w:ascii="TimesNewRomanPSMT" w:hAnsi="TimesNewRomanPSMT" w:cs="TimesNewRomanPSMT"/>
          <w:sz w:val="20"/>
          <w:szCs w:val="20"/>
        </w:rPr>
      </w:pPr>
    </w:p>
    <w:p w:rsidR="000539E9" w:rsidRDefault="000539E9" w:rsidP="000539E9">
      <w:pPr>
        <w:spacing w:before="100" w:beforeAutospacing="1" w:after="100" w:afterAutospacing="1"/>
        <w:ind w:left="5760"/>
        <w:jc w:val="right"/>
        <w:rPr>
          <w:rFonts w:ascii="TimesNewRomanPSMT" w:hAnsi="TimesNewRomanPSMT" w:cs="TimesNewRomanPSMT"/>
          <w:sz w:val="20"/>
          <w:szCs w:val="20"/>
        </w:rPr>
      </w:pPr>
    </w:p>
    <w:p w:rsidR="000539E9" w:rsidRDefault="000539E9" w:rsidP="000539E9">
      <w:pPr>
        <w:spacing w:before="100" w:beforeAutospacing="1" w:after="100" w:afterAutospacing="1"/>
        <w:ind w:left="5760"/>
        <w:jc w:val="right"/>
        <w:rPr>
          <w:rFonts w:ascii="TimesNewRomanPSMT" w:hAnsi="TimesNewRomanPSMT" w:cs="TimesNewRomanPSMT"/>
          <w:sz w:val="20"/>
          <w:szCs w:val="20"/>
        </w:rPr>
      </w:pPr>
    </w:p>
    <w:p w:rsidR="000539E9" w:rsidRDefault="000539E9" w:rsidP="000539E9">
      <w:pPr>
        <w:spacing w:before="100" w:beforeAutospacing="1" w:after="100" w:afterAutospacing="1"/>
        <w:ind w:left="5760"/>
        <w:jc w:val="right"/>
        <w:rPr>
          <w:rFonts w:ascii="TimesNewRomanPSMT" w:hAnsi="TimesNewRomanPSMT" w:cs="TimesNewRomanPSMT"/>
          <w:sz w:val="20"/>
          <w:szCs w:val="20"/>
        </w:rPr>
      </w:pPr>
    </w:p>
    <w:p w:rsidR="000539E9" w:rsidRDefault="000539E9" w:rsidP="000539E9">
      <w:pPr>
        <w:spacing w:before="100" w:beforeAutospacing="1" w:after="100" w:afterAutospacing="1"/>
        <w:ind w:left="5760"/>
        <w:jc w:val="right"/>
        <w:rPr>
          <w:rFonts w:ascii="TimesNewRomanPSMT" w:hAnsi="TimesNewRomanPSMT" w:cs="TimesNewRomanPSMT"/>
          <w:sz w:val="20"/>
          <w:szCs w:val="20"/>
        </w:rPr>
      </w:pPr>
    </w:p>
    <w:p w:rsidR="000539E9" w:rsidRDefault="000539E9" w:rsidP="000539E9">
      <w:pPr>
        <w:spacing w:before="100" w:beforeAutospacing="1" w:after="100" w:afterAutospacing="1"/>
        <w:ind w:left="5760"/>
        <w:jc w:val="right"/>
        <w:rPr>
          <w:rFonts w:ascii="TimesNewRomanPSMT" w:hAnsi="TimesNewRomanPSMT" w:cs="TimesNewRomanPSMT"/>
          <w:sz w:val="20"/>
          <w:szCs w:val="20"/>
        </w:rPr>
      </w:pPr>
      <w:bookmarkStart w:id="0" w:name="_GoBack"/>
      <w:bookmarkEnd w:id="0"/>
      <w:r w:rsidRPr="000539E9">
        <w:rPr>
          <w:rFonts w:ascii="TimesNewRomanPSMT" w:hAnsi="TimesNewRomanPSMT" w:cs="TimesNewRomanPSMT"/>
          <w:sz w:val="20"/>
          <w:szCs w:val="20"/>
        </w:rPr>
        <w:t>Z.C. N</w:t>
      </w:r>
      <w:r w:rsidRPr="000539E9">
        <w:rPr>
          <w:rFonts w:ascii="TimesNewRomanPSMT" w:hAnsi="TimesNewRomanPSMT" w:cs="TimesNewRomanPSMT"/>
          <w:sz w:val="16"/>
          <w:szCs w:val="16"/>
        </w:rPr>
        <w:t xml:space="preserve">OTICE OF </w:t>
      </w:r>
      <w:r w:rsidRPr="000539E9">
        <w:rPr>
          <w:rFonts w:ascii="TimesNewRomanPSMT" w:hAnsi="TimesNewRomanPSMT" w:cs="TimesNewRomanPSMT"/>
          <w:sz w:val="20"/>
          <w:szCs w:val="20"/>
        </w:rPr>
        <w:t>F</w:t>
      </w:r>
      <w:r w:rsidRPr="000539E9">
        <w:rPr>
          <w:rFonts w:ascii="TimesNewRomanPSMT" w:hAnsi="TimesNewRomanPSMT" w:cs="TimesNewRomanPSMT"/>
          <w:sz w:val="16"/>
          <w:szCs w:val="16"/>
        </w:rPr>
        <w:t xml:space="preserve">INAL </w:t>
      </w:r>
      <w:r w:rsidRPr="000539E9">
        <w:rPr>
          <w:rFonts w:ascii="TimesNewRomanPSMT" w:hAnsi="TimesNewRomanPSMT" w:cs="TimesNewRomanPSMT"/>
          <w:sz w:val="20"/>
          <w:szCs w:val="20"/>
        </w:rPr>
        <w:t>R</w:t>
      </w:r>
      <w:r w:rsidRPr="000539E9">
        <w:rPr>
          <w:rFonts w:ascii="TimesNewRomanPSMT" w:hAnsi="TimesNewRomanPSMT" w:cs="TimesNewRomanPSMT"/>
          <w:sz w:val="16"/>
          <w:szCs w:val="16"/>
        </w:rPr>
        <w:t xml:space="preserve">ULEMAKING </w:t>
      </w:r>
      <w:r w:rsidRPr="000539E9">
        <w:rPr>
          <w:rFonts w:ascii="TimesNewRomanPSMT" w:hAnsi="TimesNewRomanPSMT" w:cs="TimesNewRomanPSMT"/>
          <w:sz w:val="20"/>
          <w:szCs w:val="20"/>
        </w:rPr>
        <w:t>&amp; O</w:t>
      </w:r>
      <w:r w:rsidRPr="000539E9">
        <w:rPr>
          <w:rFonts w:ascii="TimesNewRomanPSMT" w:hAnsi="TimesNewRomanPSMT" w:cs="TimesNewRomanPSMT"/>
          <w:sz w:val="16"/>
          <w:szCs w:val="16"/>
        </w:rPr>
        <w:t xml:space="preserve">RDER </w:t>
      </w:r>
      <w:r w:rsidRPr="000539E9">
        <w:rPr>
          <w:rFonts w:ascii="TimesNewRomanPSMT" w:hAnsi="TimesNewRomanPSMT" w:cs="TimesNewRomanPSMT"/>
          <w:sz w:val="20"/>
          <w:szCs w:val="20"/>
        </w:rPr>
        <w:t>N</w:t>
      </w:r>
      <w:r w:rsidRPr="000539E9">
        <w:rPr>
          <w:rFonts w:ascii="TimesNewRomanPSMT" w:hAnsi="TimesNewRomanPSMT" w:cs="TimesNewRomanPSMT"/>
          <w:sz w:val="16"/>
          <w:szCs w:val="16"/>
        </w:rPr>
        <w:t>O</w:t>
      </w:r>
      <w:r w:rsidRPr="000539E9">
        <w:rPr>
          <w:rFonts w:ascii="TimesNewRomanPSMT" w:hAnsi="TimesNewRomanPSMT" w:cs="TimesNewRomanPSMT"/>
          <w:sz w:val="20"/>
          <w:szCs w:val="20"/>
        </w:rPr>
        <w:t>. 08-06A Z.C. C</w:t>
      </w:r>
      <w:r w:rsidRPr="000539E9">
        <w:rPr>
          <w:rFonts w:ascii="TimesNewRomanPSMT" w:hAnsi="TimesNewRomanPSMT" w:cs="TimesNewRomanPSMT"/>
          <w:sz w:val="16"/>
          <w:szCs w:val="16"/>
        </w:rPr>
        <w:t xml:space="preserve">ASE </w:t>
      </w:r>
      <w:r w:rsidRPr="000539E9">
        <w:rPr>
          <w:rFonts w:ascii="TimesNewRomanPSMT" w:hAnsi="TimesNewRomanPSMT" w:cs="TimesNewRomanPSMT"/>
          <w:sz w:val="20"/>
          <w:szCs w:val="20"/>
        </w:rPr>
        <w:t>N</w:t>
      </w:r>
      <w:r w:rsidRPr="000539E9">
        <w:rPr>
          <w:rFonts w:ascii="TimesNewRomanPSMT" w:hAnsi="TimesNewRomanPSMT" w:cs="TimesNewRomanPSMT"/>
          <w:sz w:val="16"/>
          <w:szCs w:val="16"/>
        </w:rPr>
        <w:t>OS</w:t>
      </w:r>
      <w:r w:rsidRPr="000539E9">
        <w:rPr>
          <w:rFonts w:ascii="TimesNewRomanPSMT" w:hAnsi="TimesNewRomanPSMT" w:cs="TimesNewRomanPSMT"/>
          <w:sz w:val="20"/>
          <w:szCs w:val="20"/>
        </w:rPr>
        <w:t xml:space="preserve">. 08-06A, 08-06B, </w:t>
      </w:r>
      <w:r w:rsidRPr="000539E9">
        <w:rPr>
          <w:rFonts w:ascii="TimesNewRomanPSMT" w:hAnsi="TimesNewRomanPSMT" w:cs="TimesNewRomanPSMT"/>
          <w:sz w:val="16"/>
          <w:szCs w:val="16"/>
        </w:rPr>
        <w:t xml:space="preserve">AND </w:t>
      </w:r>
      <w:r w:rsidRPr="000539E9">
        <w:rPr>
          <w:rFonts w:ascii="TimesNewRomanPSMT" w:hAnsi="TimesNewRomanPSMT" w:cs="TimesNewRomanPSMT"/>
          <w:sz w:val="20"/>
          <w:szCs w:val="20"/>
        </w:rPr>
        <w:t>08-06C P</w:t>
      </w:r>
      <w:r w:rsidRPr="000539E9">
        <w:rPr>
          <w:rFonts w:ascii="TimesNewRomanPSMT" w:hAnsi="TimesNewRomanPSMT" w:cs="TimesNewRomanPSMT"/>
          <w:sz w:val="16"/>
          <w:szCs w:val="16"/>
        </w:rPr>
        <w:t xml:space="preserve">AGE </w:t>
      </w:r>
      <w:r w:rsidRPr="000539E9">
        <w:rPr>
          <w:rFonts w:ascii="TimesNewRomanPSMT" w:hAnsi="TimesNewRomanPSMT" w:cs="TimesNewRomanPSMT"/>
          <w:sz w:val="20"/>
          <w:szCs w:val="20"/>
        </w:rPr>
        <w:t xml:space="preserve">158 </w:t>
      </w:r>
    </w:p>
    <w:p w:rsidR="000539E9" w:rsidRPr="000539E9" w:rsidRDefault="000539E9" w:rsidP="000539E9">
      <w:pPr>
        <w:spacing w:before="100" w:beforeAutospacing="1" w:after="100" w:afterAutospacing="1"/>
        <w:rPr>
          <w:rFonts w:ascii="Times New Roman" w:hAnsi="Times New Roman" w:cs="Times New Roman"/>
        </w:rPr>
      </w:pPr>
    </w:p>
    <w:tbl>
      <w:tblPr>
        <w:tblW w:w="0" w:type="auto"/>
        <w:tblCellMar>
          <w:top w:w="15" w:type="dxa"/>
          <w:left w:w="15" w:type="dxa"/>
          <w:bottom w:w="15" w:type="dxa"/>
          <w:right w:w="15" w:type="dxa"/>
        </w:tblCellMar>
        <w:tblLook w:val="04A0"/>
      </w:tblPr>
      <w:tblGrid>
        <w:gridCol w:w="464"/>
        <w:gridCol w:w="677"/>
        <w:gridCol w:w="697"/>
        <w:gridCol w:w="3733"/>
        <w:gridCol w:w="3819"/>
      </w:tblGrid>
      <w:tr w:rsidR="000539E9" w:rsidRPr="000539E9" w:rsidTr="000539E9">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ANC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Exhibit #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Subtitle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Comment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Response </w:t>
            </w:r>
          </w:p>
        </w:tc>
      </w:tr>
      <w:tr w:rsidR="000539E9" w:rsidRPr="000539E9" w:rsidTr="000539E9">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rPr>
                <w:rFonts w:ascii="Times New Roman" w:hAnsi="Times New Roman" w:cs="Times New Roman"/>
              </w:rPr>
            </w:pP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0539E9" w:rsidRPr="000539E9" w:rsidRDefault="000539E9" w:rsidP="000539E9">
            <w:pPr>
              <w:rPr>
                <w:rFonts w:ascii="Times New Roman" w:eastAsia="Times New Roman" w:hAnsi="Times New Roman" w:cs="Times New Roman"/>
                <w:sz w:val="20"/>
                <w:szCs w:val="20"/>
              </w:rPr>
            </w:pPr>
          </w:p>
        </w:tc>
        <w:tc>
          <w:tcPr>
            <w:tcW w:w="0" w:type="auto"/>
            <w:tcBorders>
              <w:top w:val="single" w:sz="4" w:space="0" w:color="211C1E"/>
              <w:left w:val="single" w:sz="4" w:space="0" w:color="211C1E"/>
              <w:bottom w:val="single" w:sz="4" w:space="0" w:color="211C1E"/>
              <w:right w:val="single" w:sz="4" w:space="0" w:color="211E1E"/>
            </w:tcBorders>
            <w:vAlign w:val="center"/>
            <w:hideMark/>
          </w:tcPr>
          <w:p w:rsidR="000539E9" w:rsidRPr="000539E9" w:rsidRDefault="000539E9" w:rsidP="000539E9">
            <w:pPr>
              <w:rPr>
                <w:rFonts w:ascii="Times New Roman" w:eastAsia="Times New Roman" w:hAnsi="Times New Roman" w:cs="Times New Roman"/>
                <w:sz w:val="20"/>
                <w:szCs w:val="20"/>
              </w:rPr>
            </w:pPr>
          </w:p>
        </w:tc>
        <w:tc>
          <w:tcPr>
            <w:tcW w:w="0" w:type="auto"/>
            <w:tcBorders>
              <w:top w:val="single" w:sz="4" w:space="0" w:color="211E1E"/>
              <w:left w:val="single" w:sz="4" w:space="0" w:color="211E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easier to define than "finished," which can be altered. The Cafritz building at 5333 Connecticut Avenue presents this anomalous situation, whereby what appears to be ground "floor" units might be re-cast as "cellar" units because of an artificial berm that will ring the area.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rPr>
                <w:rFonts w:ascii="Times New Roman" w:hAnsi="Times New Roman" w:cs="Times New Roman"/>
              </w:rPr>
            </w:pPr>
          </w:p>
        </w:tc>
      </w:tr>
      <w:tr w:rsidR="000539E9" w:rsidRPr="000539E9" w:rsidTr="000539E9">
        <w:tc>
          <w:tcPr>
            <w:tcW w:w="0" w:type="auto"/>
            <w:tcBorders>
              <w:top w:val="single" w:sz="4" w:space="0" w:color="211E1E"/>
              <w:left w:val="single" w:sz="4" w:space="0" w:color="211C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3/4G </w:t>
            </w:r>
          </w:p>
        </w:tc>
        <w:tc>
          <w:tcPr>
            <w:tcW w:w="0" w:type="auto"/>
            <w:tcBorders>
              <w:top w:val="single" w:sz="4" w:space="0" w:color="211C1E"/>
              <w:left w:val="single" w:sz="4" w:space="0" w:color="211E1E"/>
              <w:bottom w:val="single" w:sz="4" w:space="0" w:color="211C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980 </w:t>
            </w:r>
          </w:p>
        </w:tc>
        <w:tc>
          <w:tcPr>
            <w:tcW w:w="0" w:type="auto"/>
            <w:tcBorders>
              <w:top w:val="single" w:sz="4" w:space="0" w:color="211C1E"/>
              <w:left w:val="single" w:sz="4" w:space="0" w:color="211E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B </w:t>
            </w:r>
          </w:p>
        </w:tc>
        <w:tc>
          <w:tcPr>
            <w:tcW w:w="0" w:type="auto"/>
            <w:tcBorders>
              <w:top w:val="single" w:sz="4" w:space="0" w:color="211E1E"/>
              <w:left w:val="single" w:sz="4" w:space="0" w:color="211C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 308.4 - Favors an absolute height limit for residential buildings. With language such as that used for flat roofs in Subtitle B § 308.3: "the building height shall be measured from the Base Height Measuring Point to the highest point of the roof or parapet, excluding parapets and balustrades not exceeding 4 ft. in height." </w:t>
            </w:r>
          </w:p>
        </w:tc>
        <w:tc>
          <w:tcPr>
            <w:tcW w:w="0" w:type="auto"/>
            <w:tcBorders>
              <w:top w:val="single" w:sz="4" w:space="0" w:color="211E1E"/>
              <w:left w:val="single" w:sz="4" w:space="0" w:color="211E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The issue of measuring height of residential buildings was discussed as part of case Z.C. Case No. 12-11. The Commission determined in that case that measuring height to absolute highest point would incentivize flat roofs in order to maximize the volume of a house, whereas measuring to the mid-point of a roof recognizes the pitch and slope roofs which are often part of the character defining features of a residential neighborhood. The Commission found no change in circumstances since case Z.C. 12-11 and decided not to change how height is measured through this case (08- 06A). </w:t>
            </w:r>
          </w:p>
        </w:tc>
      </w:tr>
      <w:tr w:rsidR="000539E9" w:rsidRPr="000539E9" w:rsidTr="000539E9">
        <w:tc>
          <w:tcPr>
            <w:tcW w:w="0" w:type="auto"/>
            <w:tcBorders>
              <w:top w:val="single" w:sz="4" w:space="0" w:color="211E1E"/>
              <w:left w:val="single" w:sz="4" w:space="0" w:color="211C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3/4G </w:t>
            </w:r>
          </w:p>
        </w:tc>
        <w:tc>
          <w:tcPr>
            <w:tcW w:w="0" w:type="auto"/>
            <w:tcBorders>
              <w:top w:val="single" w:sz="4" w:space="0" w:color="211C1E"/>
              <w:left w:val="single" w:sz="4" w:space="0" w:color="211E1E"/>
              <w:bottom w:val="single" w:sz="4" w:space="0" w:color="211C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980 </w:t>
            </w:r>
          </w:p>
        </w:tc>
        <w:tc>
          <w:tcPr>
            <w:tcW w:w="0" w:type="auto"/>
            <w:tcBorders>
              <w:top w:val="single" w:sz="4" w:space="0" w:color="211C1E"/>
              <w:left w:val="single" w:sz="4" w:space="0" w:color="211E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B </w:t>
            </w:r>
          </w:p>
        </w:tc>
        <w:tc>
          <w:tcPr>
            <w:tcW w:w="0" w:type="auto"/>
            <w:tcBorders>
              <w:top w:val="single" w:sz="4" w:space="0" w:color="211E1E"/>
              <w:left w:val="single" w:sz="4" w:space="0" w:color="211C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 307.5 and 308.7 - Requests that both the building height and measurement of that height from grade be established by the street selected as the front of the building. We oppose the so called "mix-and-match" rule, preserved in the 2015 rewrite, allowing a builder to select one street frontage to generate the height limit, but then apply that height limit to a different frontage that is "selected as the front of the building," thus allowing for a height limit that would be in excess of that permitted from either frontage. </w:t>
            </w:r>
          </w:p>
        </w:tc>
        <w:tc>
          <w:tcPr>
            <w:tcW w:w="0" w:type="auto"/>
            <w:tcBorders>
              <w:top w:val="single" w:sz="4" w:space="0" w:color="211E1E"/>
              <w:left w:val="single" w:sz="4" w:space="0" w:color="211E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The way height is measured has been changed to more accurately reflect the built height of a building; however, the </w:t>
            </w:r>
            <w:r w:rsidRPr="000539E9">
              <w:rPr>
                <w:rFonts w:ascii="TimesNewRoman" w:hAnsi="TimesNewRoman" w:cs="Times New Roman"/>
                <w:sz w:val="20"/>
                <w:szCs w:val="20"/>
              </w:rPr>
              <w:t xml:space="preserve">“mix and match” approach was </w:t>
            </w:r>
            <w:r w:rsidRPr="000539E9">
              <w:rPr>
                <w:rFonts w:ascii="TimesNewRomanPSMT" w:hAnsi="TimesNewRomanPSMT" w:cs="TimesNewRomanPSMT"/>
                <w:sz w:val="20"/>
                <w:szCs w:val="20"/>
              </w:rPr>
              <w:t xml:space="preserve">retained in the adopted regulations. It reflects long-standing zoning practice and the wording of § 7 of the federal </w:t>
            </w:r>
            <w:r w:rsidRPr="000539E9">
              <w:rPr>
                <w:rFonts w:ascii="TimesNewRoman" w:hAnsi="TimesNewRoman" w:cs="Times New Roman"/>
                <w:sz w:val="20"/>
                <w:szCs w:val="20"/>
              </w:rPr>
              <w:t xml:space="preserve">1910 Height Act which reads “ . . . If </w:t>
            </w:r>
            <w:r w:rsidRPr="000539E9">
              <w:rPr>
                <w:rFonts w:ascii="TimesNewRomanPSMT" w:hAnsi="TimesNewRomanPSMT" w:cs="TimesNewRomanPSMT"/>
                <w:sz w:val="20"/>
                <w:szCs w:val="20"/>
              </w:rPr>
              <w:t xml:space="preserve">the building has more than one front, the height shall be measured from the elevation of the sidewalk opposite the middle of the front that will permit the </w:t>
            </w:r>
            <w:r w:rsidRPr="000539E9">
              <w:rPr>
                <w:rFonts w:ascii="TimesNewRoman" w:hAnsi="TimesNewRoman" w:cs="Times New Roman"/>
                <w:sz w:val="20"/>
                <w:szCs w:val="20"/>
              </w:rPr>
              <w:t xml:space="preserve">greater height . . . .” </w:t>
            </w:r>
          </w:p>
        </w:tc>
      </w:tr>
      <w:tr w:rsidR="000539E9" w:rsidRPr="000539E9" w:rsidTr="000539E9">
        <w:tc>
          <w:tcPr>
            <w:tcW w:w="0" w:type="auto"/>
            <w:tcBorders>
              <w:top w:val="single" w:sz="4" w:space="0" w:color="211E1E"/>
              <w:left w:val="single" w:sz="4" w:space="0" w:color="211C1E"/>
              <w:bottom w:val="single" w:sz="4" w:space="0" w:color="211C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3/4G </w:t>
            </w:r>
          </w:p>
        </w:tc>
        <w:tc>
          <w:tcPr>
            <w:tcW w:w="0" w:type="auto"/>
            <w:tcBorders>
              <w:top w:val="single" w:sz="4" w:space="0" w:color="211C1E"/>
              <w:left w:val="single" w:sz="4" w:space="0" w:color="211E1E"/>
              <w:bottom w:val="single" w:sz="4" w:space="0" w:color="211C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980 </w:t>
            </w:r>
          </w:p>
        </w:tc>
        <w:tc>
          <w:tcPr>
            <w:tcW w:w="0" w:type="auto"/>
            <w:tcBorders>
              <w:top w:val="single" w:sz="4" w:space="0" w:color="211C1E"/>
              <w:left w:val="single" w:sz="4" w:space="0" w:color="211E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C </w:t>
            </w:r>
          </w:p>
        </w:tc>
        <w:tc>
          <w:tcPr>
            <w:tcW w:w="0" w:type="auto"/>
            <w:tcBorders>
              <w:top w:val="single" w:sz="4" w:space="0" w:color="211E1E"/>
              <w:left w:val="single" w:sz="4" w:space="0" w:color="211C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 701.5 - This table contains the minimum parking requirements for apartment buildings in residential zones, requiring "1 space per 3 dwelling units in excess of 4 units, except 1 per 2 dwelling units for any </w:t>
            </w:r>
            <w:r w:rsidRPr="000539E9">
              <w:rPr>
                <w:rFonts w:ascii="TimesNewRoman" w:hAnsi="TimesNewRoman" w:cs="Times New Roman"/>
                <w:sz w:val="20"/>
                <w:szCs w:val="20"/>
              </w:rPr>
              <w:t xml:space="preserve">zone within Subtitles D or E..." What this </w:t>
            </w:r>
            <w:r w:rsidRPr="000539E9">
              <w:rPr>
                <w:rFonts w:ascii="TimesNewRomanPSMT" w:hAnsi="TimesNewRomanPSMT" w:cs="TimesNewRomanPSMT"/>
                <w:sz w:val="20"/>
                <w:szCs w:val="20"/>
              </w:rPr>
              <w:t xml:space="preserve">means along our Connecticut Avenue commercial corridor is that an apartment building with less than 4 units need provide no parking, and an apartment building with 9 units need provide only one parking space (1 for the 3 units in excess of 4, with the </w:t>
            </w:r>
          </w:p>
        </w:tc>
        <w:tc>
          <w:tcPr>
            <w:tcW w:w="0" w:type="auto"/>
            <w:tcBorders>
              <w:top w:val="single" w:sz="4" w:space="0" w:color="211E1E"/>
              <w:left w:val="single" w:sz="4" w:space="0" w:color="211E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The Commission considered the parking standards holistically and determined that the proposed standards recognize the changes in travel habits, use of alternate forms of transportation, the cost of parking, and environmental concerns. The Commission found no evidence that Connecticut Avenue should be treated differently from other major corridors. </w:t>
            </w:r>
          </w:p>
        </w:tc>
      </w:tr>
    </w:tbl>
    <w:p w:rsidR="000539E9" w:rsidRDefault="000539E9" w:rsidP="000539E9">
      <w:pPr>
        <w:spacing w:before="100" w:beforeAutospacing="1" w:after="100" w:afterAutospacing="1"/>
        <w:ind w:left="5760"/>
        <w:jc w:val="right"/>
        <w:rPr>
          <w:rFonts w:ascii="TimesNewRomanPSMT" w:hAnsi="TimesNewRomanPSMT" w:cs="TimesNewRomanPSMT"/>
          <w:sz w:val="20"/>
          <w:szCs w:val="20"/>
        </w:rPr>
      </w:pPr>
      <w:r w:rsidRPr="000539E9">
        <w:rPr>
          <w:rFonts w:ascii="TimesNewRomanPSMT" w:hAnsi="TimesNewRomanPSMT" w:cs="TimesNewRomanPSMT"/>
          <w:sz w:val="20"/>
          <w:szCs w:val="20"/>
        </w:rPr>
        <w:t xml:space="preserve">Z.C. NOTICE OF FINAL RULEMAKING &amp; ORDER NO. 08-06A Z.C. CASE NOS. 08-06A, 08-06B, AND 08-06C PAGE 159 </w:t>
      </w:r>
    </w:p>
    <w:p w:rsidR="000539E9" w:rsidRPr="000539E9" w:rsidRDefault="000539E9" w:rsidP="000539E9">
      <w:pPr>
        <w:spacing w:before="100" w:beforeAutospacing="1" w:after="100" w:afterAutospacing="1"/>
        <w:ind w:left="5760"/>
        <w:jc w:val="right"/>
        <w:rPr>
          <w:rFonts w:ascii="TimesNewRomanPSMT" w:hAnsi="TimesNewRomanPSMT" w:cs="TimesNewRomanPSMT"/>
          <w:sz w:val="20"/>
          <w:szCs w:val="20"/>
        </w:rPr>
      </w:pPr>
    </w:p>
    <w:tbl>
      <w:tblPr>
        <w:tblW w:w="0" w:type="auto"/>
        <w:tblCellMar>
          <w:top w:w="15" w:type="dxa"/>
          <w:left w:w="15" w:type="dxa"/>
          <w:bottom w:w="15" w:type="dxa"/>
          <w:right w:w="15" w:type="dxa"/>
        </w:tblCellMar>
        <w:tblLook w:val="04A0"/>
      </w:tblPr>
      <w:tblGrid>
        <w:gridCol w:w="464"/>
        <w:gridCol w:w="680"/>
        <w:gridCol w:w="697"/>
        <w:gridCol w:w="3222"/>
        <w:gridCol w:w="4327"/>
      </w:tblGrid>
      <w:tr w:rsidR="000539E9" w:rsidRPr="000539E9" w:rsidTr="000539E9">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ANC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Exhibit # </w:t>
            </w: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Subtitle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Comment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 w:hAnsi="TimesNewRomanPS" w:cs="Times New Roman"/>
                <w:b/>
                <w:bCs/>
                <w:sz w:val="20"/>
                <w:szCs w:val="20"/>
              </w:rPr>
              <w:t xml:space="preserve">Response </w:t>
            </w:r>
          </w:p>
        </w:tc>
      </w:tr>
      <w:tr w:rsidR="000539E9" w:rsidRPr="000539E9" w:rsidTr="000539E9">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rPr>
                <w:rFonts w:ascii="Times New Roman" w:hAnsi="Times New Roman" w:cs="Times New Roman"/>
              </w:rPr>
            </w:pPr>
          </w:p>
        </w:tc>
        <w:tc>
          <w:tcPr>
            <w:tcW w:w="0" w:type="auto"/>
            <w:tcBorders>
              <w:top w:val="single" w:sz="4" w:space="0" w:color="211C1E"/>
              <w:left w:val="single" w:sz="4" w:space="0" w:color="211C1E"/>
              <w:bottom w:val="single" w:sz="4" w:space="0" w:color="211C1E"/>
              <w:right w:val="single" w:sz="4" w:space="0" w:color="211C1E"/>
            </w:tcBorders>
            <w:vAlign w:val="center"/>
            <w:hideMark/>
          </w:tcPr>
          <w:p w:rsidR="000539E9" w:rsidRPr="000539E9" w:rsidRDefault="000539E9" w:rsidP="000539E9">
            <w:pPr>
              <w:rPr>
                <w:rFonts w:ascii="Times New Roman" w:eastAsia="Times New Roman" w:hAnsi="Times New Roman" w:cs="Times New Roman"/>
                <w:sz w:val="20"/>
                <w:szCs w:val="20"/>
              </w:rPr>
            </w:pPr>
          </w:p>
        </w:tc>
        <w:tc>
          <w:tcPr>
            <w:tcW w:w="0" w:type="auto"/>
            <w:tcBorders>
              <w:top w:val="single" w:sz="4" w:space="0" w:color="211C1E"/>
              <w:left w:val="single" w:sz="4" w:space="0" w:color="211C1E"/>
              <w:bottom w:val="single" w:sz="4" w:space="0" w:color="211C1E"/>
              <w:right w:val="single" w:sz="4" w:space="0" w:color="211E1E"/>
            </w:tcBorders>
            <w:vAlign w:val="center"/>
            <w:hideMark/>
          </w:tcPr>
          <w:p w:rsidR="000539E9" w:rsidRPr="000539E9" w:rsidRDefault="000539E9" w:rsidP="000539E9">
            <w:pPr>
              <w:rPr>
                <w:rFonts w:ascii="Times New Roman" w:eastAsia="Times New Roman" w:hAnsi="Times New Roman" w:cs="Times New Roman"/>
                <w:sz w:val="20"/>
                <w:szCs w:val="20"/>
              </w:rPr>
            </w:pPr>
          </w:p>
        </w:tc>
        <w:tc>
          <w:tcPr>
            <w:tcW w:w="0" w:type="auto"/>
            <w:tcBorders>
              <w:top w:val="single" w:sz="4" w:space="0" w:color="211E1E"/>
              <w:left w:val="single" w:sz="4" w:space="0" w:color="211E1E"/>
              <w:bottom w:val="single" w:sz="4" w:space="0" w:color="211E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remaining 2 units not yielding an additional parking spot requirement). ANC 3/4G disagrees with this relaxed parking requirement - it should be a simple rule of 1 parking space for every 3 units. </w:t>
            </w:r>
          </w:p>
        </w:tc>
        <w:tc>
          <w:tcPr>
            <w:tcW w:w="0" w:type="auto"/>
            <w:tcBorders>
              <w:top w:val="single" w:sz="4" w:space="0" w:color="211E1E"/>
              <w:left w:val="single" w:sz="4" w:space="0" w:color="211C1E"/>
              <w:bottom w:val="single" w:sz="4" w:space="0" w:color="211E1E"/>
              <w:right w:val="single" w:sz="4" w:space="0" w:color="211C1E"/>
            </w:tcBorders>
            <w:vAlign w:val="center"/>
            <w:hideMark/>
          </w:tcPr>
          <w:p w:rsidR="000539E9" w:rsidRPr="000539E9" w:rsidRDefault="000539E9" w:rsidP="000539E9">
            <w:pPr>
              <w:rPr>
                <w:rFonts w:ascii="Times New Roman" w:hAnsi="Times New Roman" w:cs="Times New Roman"/>
              </w:rPr>
            </w:pPr>
          </w:p>
        </w:tc>
      </w:tr>
      <w:tr w:rsidR="000539E9" w:rsidRPr="000539E9" w:rsidTr="000539E9">
        <w:tc>
          <w:tcPr>
            <w:tcW w:w="0" w:type="auto"/>
            <w:tcBorders>
              <w:top w:val="single" w:sz="4" w:space="0" w:color="211E1E"/>
              <w:left w:val="single" w:sz="4" w:space="0" w:color="211C1E"/>
              <w:bottom w:val="single" w:sz="4" w:space="0" w:color="211C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3/4G </w:t>
            </w:r>
          </w:p>
        </w:tc>
        <w:tc>
          <w:tcPr>
            <w:tcW w:w="0" w:type="auto"/>
            <w:tcBorders>
              <w:top w:val="single" w:sz="4" w:space="0" w:color="211C1E"/>
              <w:left w:val="single" w:sz="4" w:space="0" w:color="211E1E"/>
              <w:bottom w:val="single" w:sz="4" w:space="0" w:color="211C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980 </w:t>
            </w:r>
          </w:p>
        </w:tc>
        <w:tc>
          <w:tcPr>
            <w:tcW w:w="0" w:type="auto"/>
            <w:tcBorders>
              <w:top w:val="single" w:sz="4" w:space="0" w:color="211C1E"/>
              <w:left w:val="single" w:sz="4" w:space="0" w:color="211E1E"/>
              <w:bottom w:val="single" w:sz="4" w:space="0" w:color="211C1E"/>
              <w:right w:val="single" w:sz="4" w:space="0" w:color="211C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C </w:t>
            </w:r>
          </w:p>
        </w:tc>
        <w:tc>
          <w:tcPr>
            <w:tcW w:w="0" w:type="auto"/>
            <w:tcBorders>
              <w:top w:val="single" w:sz="4" w:space="0" w:color="211E1E"/>
              <w:left w:val="single" w:sz="4" w:space="0" w:color="211C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 1501.3 - Recommends that there be an absolute 10-foot extra height limit for any structure or other embellishment that sits above the roof on which it is located, whatever rooftop item might be called (spire, tower, done, etc.), in any residential zone. </w:t>
            </w:r>
          </w:p>
        </w:tc>
        <w:tc>
          <w:tcPr>
            <w:tcW w:w="0" w:type="auto"/>
            <w:tcBorders>
              <w:top w:val="single" w:sz="4" w:space="0" w:color="211E1E"/>
              <w:left w:val="single" w:sz="4" w:space="0" w:color="211E1E"/>
              <w:bottom w:val="single" w:sz="4" w:space="0" w:color="211E1E"/>
              <w:right w:val="single" w:sz="4" w:space="0" w:color="211E1E"/>
            </w:tcBorders>
            <w:vAlign w:val="center"/>
            <w:hideMark/>
          </w:tcPr>
          <w:p w:rsidR="000539E9" w:rsidRPr="000539E9" w:rsidRDefault="000539E9" w:rsidP="000539E9">
            <w:pPr>
              <w:spacing w:before="100" w:beforeAutospacing="1" w:after="100" w:afterAutospacing="1"/>
              <w:rPr>
                <w:rFonts w:ascii="Times New Roman" w:hAnsi="Times New Roman" w:cs="Times New Roman"/>
              </w:rPr>
            </w:pPr>
            <w:r w:rsidRPr="000539E9">
              <w:rPr>
                <w:rFonts w:ascii="TimesNewRomanPSMT" w:hAnsi="TimesNewRomanPSMT" w:cs="TimesNewRomanPSMT"/>
                <w:sz w:val="20"/>
                <w:szCs w:val="20"/>
              </w:rPr>
              <w:t xml:space="preserve">The Commission did not make this change in Z.C. Case No. 14-13, which concerned roof structures. The Height Act permits these types of structures above its otherwise applicable limit by waiver, and the Commission sees no basis in not permitting matter of right flexibility for such architectural embellishments below the Height Act limit subject to the limitation stated. </w:t>
            </w:r>
          </w:p>
        </w:tc>
      </w:tr>
    </w:tbl>
    <w:p w:rsidR="0031135F" w:rsidRDefault="0031135F"/>
    <w:sectPr w:rsidR="0031135F" w:rsidSect="001144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539E9"/>
    <w:rsid w:val="000539E9"/>
    <w:rsid w:val="0011444F"/>
    <w:rsid w:val="0031135F"/>
    <w:rsid w:val="007313DD"/>
    <w:rsid w:val="00EA7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9E9"/>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405850">
      <w:bodyDiv w:val="1"/>
      <w:marLeft w:val="0"/>
      <w:marRight w:val="0"/>
      <w:marTop w:val="0"/>
      <w:marBottom w:val="0"/>
      <w:divBdr>
        <w:top w:val="none" w:sz="0" w:space="0" w:color="auto"/>
        <w:left w:val="none" w:sz="0" w:space="0" w:color="auto"/>
        <w:bottom w:val="none" w:sz="0" w:space="0" w:color="auto"/>
        <w:right w:val="none" w:sz="0" w:space="0" w:color="auto"/>
      </w:divBdr>
      <w:divsChild>
        <w:div w:id="259919226">
          <w:marLeft w:val="0"/>
          <w:marRight w:val="0"/>
          <w:marTop w:val="0"/>
          <w:marBottom w:val="0"/>
          <w:divBdr>
            <w:top w:val="none" w:sz="0" w:space="0" w:color="auto"/>
            <w:left w:val="none" w:sz="0" w:space="0" w:color="auto"/>
            <w:bottom w:val="none" w:sz="0" w:space="0" w:color="auto"/>
            <w:right w:val="none" w:sz="0" w:space="0" w:color="auto"/>
          </w:divBdr>
          <w:divsChild>
            <w:div w:id="384763216">
              <w:marLeft w:val="0"/>
              <w:marRight w:val="0"/>
              <w:marTop w:val="0"/>
              <w:marBottom w:val="0"/>
              <w:divBdr>
                <w:top w:val="none" w:sz="0" w:space="0" w:color="auto"/>
                <w:left w:val="none" w:sz="0" w:space="0" w:color="auto"/>
                <w:bottom w:val="none" w:sz="0" w:space="0" w:color="auto"/>
                <w:right w:val="none" w:sz="0" w:space="0" w:color="auto"/>
              </w:divBdr>
              <w:divsChild>
                <w:div w:id="1683625766">
                  <w:marLeft w:val="0"/>
                  <w:marRight w:val="0"/>
                  <w:marTop w:val="0"/>
                  <w:marBottom w:val="0"/>
                  <w:divBdr>
                    <w:top w:val="none" w:sz="0" w:space="0" w:color="auto"/>
                    <w:left w:val="none" w:sz="0" w:space="0" w:color="auto"/>
                    <w:bottom w:val="none" w:sz="0" w:space="0" w:color="auto"/>
                    <w:right w:val="none" w:sz="0" w:space="0" w:color="auto"/>
                  </w:divBdr>
                </w:div>
              </w:divsChild>
            </w:div>
            <w:div w:id="949317728">
              <w:marLeft w:val="0"/>
              <w:marRight w:val="0"/>
              <w:marTop w:val="0"/>
              <w:marBottom w:val="0"/>
              <w:divBdr>
                <w:top w:val="none" w:sz="0" w:space="0" w:color="auto"/>
                <w:left w:val="none" w:sz="0" w:space="0" w:color="auto"/>
                <w:bottom w:val="none" w:sz="0" w:space="0" w:color="auto"/>
                <w:right w:val="none" w:sz="0" w:space="0" w:color="auto"/>
              </w:divBdr>
              <w:divsChild>
                <w:div w:id="1371028836">
                  <w:marLeft w:val="0"/>
                  <w:marRight w:val="0"/>
                  <w:marTop w:val="0"/>
                  <w:marBottom w:val="0"/>
                  <w:divBdr>
                    <w:top w:val="none" w:sz="0" w:space="0" w:color="auto"/>
                    <w:left w:val="none" w:sz="0" w:space="0" w:color="auto"/>
                    <w:bottom w:val="none" w:sz="0" w:space="0" w:color="auto"/>
                    <w:right w:val="none" w:sz="0" w:space="0" w:color="auto"/>
                  </w:divBdr>
                </w:div>
              </w:divsChild>
            </w:div>
            <w:div w:id="47462688">
              <w:marLeft w:val="0"/>
              <w:marRight w:val="0"/>
              <w:marTop w:val="0"/>
              <w:marBottom w:val="0"/>
              <w:divBdr>
                <w:top w:val="none" w:sz="0" w:space="0" w:color="auto"/>
                <w:left w:val="none" w:sz="0" w:space="0" w:color="auto"/>
                <w:bottom w:val="none" w:sz="0" w:space="0" w:color="auto"/>
                <w:right w:val="none" w:sz="0" w:space="0" w:color="auto"/>
              </w:divBdr>
              <w:divsChild>
                <w:div w:id="993217801">
                  <w:marLeft w:val="0"/>
                  <w:marRight w:val="0"/>
                  <w:marTop w:val="0"/>
                  <w:marBottom w:val="0"/>
                  <w:divBdr>
                    <w:top w:val="none" w:sz="0" w:space="0" w:color="auto"/>
                    <w:left w:val="none" w:sz="0" w:space="0" w:color="auto"/>
                    <w:bottom w:val="none" w:sz="0" w:space="0" w:color="auto"/>
                    <w:right w:val="none" w:sz="0" w:space="0" w:color="auto"/>
                  </w:divBdr>
                </w:div>
              </w:divsChild>
            </w:div>
            <w:div w:id="1160461428">
              <w:marLeft w:val="0"/>
              <w:marRight w:val="0"/>
              <w:marTop w:val="0"/>
              <w:marBottom w:val="0"/>
              <w:divBdr>
                <w:top w:val="none" w:sz="0" w:space="0" w:color="auto"/>
                <w:left w:val="none" w:sz="0" w:space="0" w:color="auto"/>
                <w:bottom w:val="none" w:sz="0" w:space="0" w:color="auto"/>
                <w:right w:val="none" w:sz="0" w:space="0" w:color="auto"/>
              </w:divBdr>
              <w:divsChild>
                <w:div w:id="631794173">
                  <w:marLeft w:val="0"/>
                  <w:marRight w:val="0"/>
                  <w:marTop w:val="0"/>
                  <w:marBottom w:val="0"/>
                  <w:divBdr>
                    <w:top w:val="none" w:sz="0" w:space="0" w:color="auto"/>
                    <w:left w:val="none" w:sz="0" w:space="0" w:color="auto"/>
                    <w:bottom w:val="none" w:sz="0" w:space="0" w:color="auto"/>
                    <w:right w:val="none" w:sz="0" w:space="0" w:color="auto"/>
                  </w:divBdr>
                </w:div>
              </w:divsChild>
            </w:div>
            <w:div w:id="1205754913">
              <w:marLeft w:val="0"/>
              <w:marRight w:val="0"/>
              <w:marTop w:val="0"/>
              <w:marBottom w:val="0"/>
              <w:divBdr>
                <w:top w:val="none" w:sz="0" w:space="0" w:color="auto"/>
                <w:left w:val="none" w:sz="0" w:space="0" w:color="auto"/>
                <w:bottom w:val="none" w:sz="0" w:space="0" w:color="auto"/>
                <w:right w:val="none" w:sz="0" w:space="0" w:color="auto"/>
              </w:divBdr>
              <w:divsChild>
                <w:div w:id="1015960470">
                  <w:marLeft w:val="0"/>
                  <w:marRight w:val="0"/>
                  <w:marTop w:val="0"/>
                  <w:marBottom w:val="0"/>
                  <w:divBdr>
                    <w:top w:val="none" w:sz="0" w:space="0" w:color="auto"/>
                    <w:left w:val="none" w:sz="0" w:space="0" w:color="auto"/>
                    <w:bottom w:val="none" w:sz="0" w:space="0" w:color="auto"/>
                    <w:right w:val="none" w:sz="0" w:space="0" w:color="auto"/>
                  </w:divBdr>
                </w:div>
              </w:divsChild>
            </w:div>
            <w:div w:id="2045902968">
              <w:marLeft w:val="0"/>
              <w:marRight w:val="0"/>
              <w:marTop w:val="0"/>
              <w:marBottom w:val="0"/>
              <w:divBdr>
                <w:top w:val="none" w:sz="0" w:space="0" w:color="auto"/>
                <w:left w:val="none" w:sz="0" w:space="0" w:color="auto"/>
                <w:bottom w:val="none" w:sz="0" w:space="0" w:color="auto"/>
                <w:right w:val="none" w:sz="0" w:space="0" w:color="auto"/>
              </w:divBdr>
              <w:divsChild>
                <w:div w:id="30305754">
                  <w:marLeft w:val="0"/>
                  <w:marRight w:val="0"/>
                  <w:marTop w:val="0"/>
                  <w:marBottom w:val="0"/>
                  <w:divBdr>
                    <w:top w:val="none" w:sz="0" w:space="0" w:color="auto"/>
                    <w:left w:val="none" w:sz="0" w:space="0" w:color="auto"/>
                    <w:bottom w:val="none" w:sz="0" w:space="0" w:color="auto"/>
                    <w:right w:val="none" w:sz="0" w:space="0" w:color="auto"/>
                  </w:divBdr>
                </w:div>
              </w:divsChild>
            </w:div>
            <w:div w:id="665280027">
              <w:marLeft w:val="0"/>
              <w:marRight w:val="0"/>
              <w:marTop w:val="0"/>
              <w:marBottom w:val="0"/>
              <w:divBdr>
                <w:top w:val="none" w:sz="0" w:space="0" w:color="auto"/>
                <w:left w:val="none" w:sz="0" w:space="0" w:color="auto"/>
                <w:bottom w:val="none" w:sz="0" w:space="0" w:color="auto"/>
                <w:right w:val="none" w:sz="0" w:space="0" w:color="auto"/>
              </w:divBdr>
              <w:divsChild>
                <w:div w:id="72627655">
                  <w:marLeft w:val="0"/>
                  <w:marRight w:val="0"/>
                  <w:marTop w:val="0"/>
                  <w:marBottom w:val="0"/>
                  <w:divBdr>
                    <w:top w:val="none" w:sz="0" w:space="0" w:color="auto"/>
                    <w:left w:val="none" w:sz="0" w:space="0" w:color="auto"/>
                    <w:bottom w:val="none" w:sz="0" w:space="0" w:color="auto"/>
                    <w:right w:val="none" w:sz="0" w:space="0" w:color="auto"/>
                  </w:divBdr>
                </w:div>
              </w:divsChild>
            </w:div>
            <w:div w:id="1217081998">
              <w:marLeft w:val="0"/>
              <w:marRight w:val="0"/>
              <w:marTop w:val="0"/>
              <w:marBottom w:val="0"/>
              <w:divBdr>
                <w:top w:val="none" w:sz="0" w:space="0" w:color="auto"/>
                <w:left w:val="none" w:sz="0" w:space="0" w:color="auto"/>
                <w:bottom w:val="none" w:sz="0" w:space="0" w:color="auto"/>
                <w:right w:val="none" w:sz="0" w:space="0" w:color="auto"/>
              </w:divBdr>
              <w:divsChild>
                <w:div w:id="1349603489">
                  <w:marLeft w:val="0"/>
                  <w:marRight w:val="0"/>
                  <w:marTop w:val="0"/>
                  <w:marBottom w:val="0"/>
                  <w:divBdr>
                    <w:top w:val="none" w:sz="0" w:space="0" w:color="auto"/>
                    <w:left w:val="none" w:sz="0" w:space="0" w:color="auto"/>
                    <w:bottom w:val="none" w:sz="0" w:space="0" w:color="auto"/>
                    <w:right w:val="none" w:sz="0" w:space="0" w:color="auto"/>
                  </w:divBdr>
                </w:div>
              </w:divsChild>
            </w:div>
            <w:div w:id="1601184149">
              <w:marLeft w:val="0"/>
              <w:marRight w:val="0"/>
              <w:marTop w:val="0"/>
              <w:marBottom w:val="0"/>
              <w:divBdr>
                <w:top w:val="none" w:sz="0" w:space="0" w:color="auto"/>
                <w:left w:val="none" w:sz="0" w:space="0" w:color="auto"/>
                <w:bottom w:val="none" w:sz="0" w:space="0" w:color="auto"/>
                <w:right w:val="none" w:sz="0" w:space="0" w:color="auto"/>
              </w:divBdr>
              <w:divsChild>
                <w:div w:id="2028754812">
                  <w:marLeft w:val="0"/>
                  <w:marRight w:val="0"/>
                  <w:marTop w:val="0"/>
                  <w:marBottom w:val="0"/>
                  <w:divBdr>
                    <w:top w:val="none" w:sz="0" w:space="0" w:color="auto"/>
                    <w:left w:val="none" w:sz="0" w:space="0" w:color="auto"/>
                    <w:bottom w:val="none" w:sz="0" w:space="0" w:color="auto"/>
                    <w:right w:val="none" w:sz="0" w:space="0" w:color="auto"/>
                  </w:divBdr>
                </w:div>
              </w:divsChild>
            </w:div>
            <w:div w:id="1687125905">
              <w:marLeft w:val="0"/>
              <w:marRight w:val="0"/>
              <w:marTop w:val="0"/>
              <w:marBottom w:val="0"/>
              <w:divBdr>
                <w:top w:val="none" w:sz="0" w:space="0" w:color="auto"/>
                <w:left w:val="none" w:sz="0" w:space="0" w:color="auto"/>
                <w:bottom w:val="none" w:sz="0" w:space="0" w:color="auto"/>
                <w:right w:val="none" w:sz="0" w:space="0" w:color="auto"/>
              </w:divBdr>
              <w:divsChild>
                <w:div w:id="1948653228">
                  <w:marLeft w:val="0"/>
                  <w:marRight w:val="0"/>
                  <w:marTop w:val="0"/>
                  <w:marBottom w:val="0"/>
                  <w:divBdr>
                    <w:top w:val="none" w:sz="0" w:space="0" w:color="auto"/>
                    <w:left w:val="none" w:sz="0" w:space="0" w:color="auto"/>
                    <w:bottom w:val="none" w:sz="0" w:space="0" w:color="auto"/>
                    <w:right w:val="none" w:sz="0" w:space="0" w:color="auto"/>
                  </w:divBdr>
                </w:div>
              </w:divsChild>
            </w:div>
            <w:div w:id="787164490">
              <w:marLeft w:val="0"/>
              <w:marRight w:val="0"/>
              <w:marTop w:val="0"/>
              <w:marBottom w:val="0"/>
              <w:divBdr>
                <w:top w:val="none" w:sz="0" w:space="0" w:color="auto"/>
                <w:left w:val="none" w:sz="0" w:space="0" w:color="auto"/>
                <w:bottom w:val="none" w:sz="0" w:space="0" w:color="auto"/>
                <w:right w:val="none" w:sz="0" w:space="0" w:color="auto"/>
              </w:divBdr>
              <w:divsChild>
                <w:div w:id="153255632">
                  <w:marLeft w:val="0"/>
                  <w:marRight w:val="0"/>
                  <w:marTop w:val="0"/>
                  <w:marBottom w:val="0"/>
                  <w:divBdr>
                    <w:top w:val="none" w:sz="0" w:space="0" w:color="auto"/>
                    <w:left w:val="none" w:sz="0" w:space="0" w:color="auto"/>
                    <w:bottom w:val="none" w:sz="0" w:space="0" w:color="auto"/>
                    <w:right w:val="none" w:sz="0" w:space="0" w:color="auto"/>
                  </w:divBdr>
                </w:div>
              </w:divsChild>
            </w:div>
            <w:div w:id="128517192">
              <w:marLeft w:val="0"/>
              <w:marRight w:val="0"/>
              <w:marTop w:val="0"/>
              <w:marBottom w:val="0"/>
              <w:divBdr>
                <w:top w:val="none" w:sz="0" w:space="0" w:color="auto"/>
                <w:left w:val="none" w:sz="0" w:space="0" w:color="auto"/>
                <w:bottom w:val="none" w:sz="0" w:space="0" w:color="auto"/>
                <w:right w:val="none" w:sz="0" w:space="0" w:color="auto"/>
              </w:divBdr>
              <w:divsChild>
                <w:div w:id="272441273">
                  <w:marLeft w:val="0"/>
                  <w:marRight w:val="0"/>
                  <w:marTop w:val="0"/>
                  <w:marBottom w:val="0"/>
                  <w:divBdr>
                    <w:top w:val="none" w:sz="0" w:space="0" w:color="auto"/>
                    <w:left w:val="none" w:sz="0" w:space="0" w:color="auto"/>
                    <w:bottom w:val="none" w:sz="0" w:space="0" w:color="auto"/>
                    <w:right w:val="none" w:sz="0" w:space="0" w:color="auto"/>
                  </w:divBdr>
                </w:div>
              </w:divsChild>
            </w:div>
            <w:div w:id="1546672089">
              <w:marLeft w:val="0"/>
              <w:marRight w:val="0"/>
              <w:marTop w:val="0"/>
              <w:marBottom w:val="0"/>
              <w:divBdr>
                <w:top w:val="none" w:sz="0" w:space="0" w:color="auto"/>
                <w:left w:val="none" w:sz="0" w:space="0" w:color="auto"/>
                <w:bottom w:val="none" w:sz="0" w:space="0" w:color="auto"/>
                <w:right w:val="none" w:sz="0" w:space="0" w:color="auto"/>
              </w:divBdr>
              <w:divsChild>
                <w:div w:id="1110246116">
                  <w:marLeft w:val="0"/>
                  <w:marRight w:val="0"/>
                  <w:marTop w:val="0"/>
                  <w:marBottom w:val="0"/>
                  <w:divBdr>
                    <w:top w:val="none" w:sz="0" w:space="0" w:color="auto"/>
                    <w:left w:val="none" w:sz="0" w:space="0" w:color="auto"/>
                    <w:bottom w:val="none" w:sz="0" w:space="0" w:color="auto"/>
                    <w:right w:val="none" w:sz="0" w:space="0" w:color="auto"/>
                  </w:divBdr>
                </w:div>
              </w:divsChild>
            </w:div>
            <w:div w:id="600188773">
              <w:marLeft w:val="0"/>
              <w:marRight w:val="0"/>
              <w:marTop w:val="0"/>
              <w:marBottom w:val="0"/>
              <w:divBdr>
                <w:top w:val="none" w:sz="0" w:space="0" w:color="auto"/>
                <w:left w:val="none" w:sz="0" w:space="0" w:color="auto"/>
                <w:bottom w:val="none" w:sz="0" w:space="0" w:color="auto"/>
                <w:right w:val="none" w:sz="0" w:space="0" w:color="auto"/>
              </w:divBdr>
              <w:divsChild>
                <w:div w:id="1307130468">
                  <w:marLeft w:val="0"/>
                  <w:marRight w:val="0"/>
                  <w:marTop w:val="0"/>
                  <w:marBottom w:val="0"/>
                  <w:divBdr>
                    <w:top w:val="none" w:sz="0" w:space="0" w:color="auto"/>
                    <w:left w:val="none" w:sz="0" w:space="0" w:color="auto"/>
                    <w:bottom w:val="none" w:sz="0" w:space="0" w:color="auto"/>
                    <w:right w:val="none" w:sz="0" w:space="0" w:color="auto"/>
                  </w:divBdr>
                </w:div>
              </w:divsChild>
            </w:div>
            <w:div w:id="1144469138">
              <w:marLeft w:val="0"/>
              <w:marRight w:val="0"/>
              <w:marTop w:val="0"/>
              <w:marBottom w:val="0"/>
              <w:divBdr>
                <w:top w:val="none" w:sz="0" w:space="0" w:color="auto"/>
                <w:left w:val="none" w:sz="0" w:space="0" w:color="auto"/>
                <w:bottom w:val="none" w:sz="0" w:space="0" w:color="auto"/>
                <w:right w:val="none" w:sz="0" w:space="0" w:color="auto"/>
              </w:divBdr>
              <w:divsChild>
                <w:div w:id="1469545866">
                  <w:marLeft w:val="0"/>
                  <w:marRight w:val="0"/>
                  <w:marTop w:val="0"/>
                  <w:marBottom w:val="0"/>
                  <w:divBdr>
                    <w:top w:val="none" w:sz="0" w:space="0" w:color="auto"/>
                    <w:left w:val="none" w:sz="0" w:space="0" w:color="auto"/>
                    <w:bottom w:val="none" w:sz="0" w:space="0" w:color="auto"/>
                    <w:right w:val="none" w:sz="0" w:space="0" w:color="auto"/>
                  </w:divBdr>
                </w:div>
              </w:divsChild>
            </w:div>
            <w:div w:id="538277678">
              <w:marLeft w:val="0"/>
              <w:marRight w:val="0"/>
              <w:marTop w:val="0"/>
              <w:marBottom w:val="0"/>
              <w:divBdr>
                <w:top w:val="none" w:sz="0" w:space="0" w:color="auto"/>
                <w:left w:val="none" w:sz="0" w:space="0" w:color="auto"/>
                <w:bottom w:val="none" w:sz="0" w:space="0" w:color="auto"/>
                <w:right w:val="none" w:sz="0" w:space="0" w:color="auto"/>
              </w:divBdr>
              <w:divsChild>
                <w:div w:id="469858467">
                  <w:marLeft w:val="0"/>
                  <w:marRight w:val="0"/>
                  <w:marTop w:val="0"/>
                  <w:marBottom w:val="0"/>
                  <w:divBdr>
                    <w:top w:val="none" w:sz="0" w:space="0" w:color="auto"/>
                    <w:left w:val="none" w:sz="0" w:space="0" w:color="auto"/>
                    <w:bottom w:val="none" w:sz="0" w:space="0" w:color="auto"/>
                    <w:right w:val="none" w:sz="0" w:space="0" w:color="auto"/>
                  </w:divBdr>
                </w:div>
              </w:divsChild>
            </w:div>
            <w:div w:id="1903171236">
              <w:marLeft w:val="0"/>
              <w:marRight w:val="0"/>
              <w:marTop w:val="0"/>
              <w:marBottom w:val="0"/>
              <w:divBdr>
                <w:top w:val="none" w:sz="0" w:space="0" w:color="auto"/>
                <w:left w:val="none" w:sz="0" w:space="0" w:color="auto"/>
                <w:bottom w:val="none" w:sz="0" w:space="0" w:color="auto"/>
                <w:right w:val="none" w:sz="0" w:space="0" w:color="auto"/>
              </w:divBdr>
              <w:divsChild>
                <w:div w:id="1048457552">
                  <w:marLeft w:val="0"/>
                  <w:marRight w:val="0"/>
                  <w:marTop w:val="0"/>
                  <w:marBottom w:val="0"/>
                  <w:divBdr>
                    <w:top w:val="none" w:sz="0" w:space="0" w:color="auto"/>
                    <w:left w:val="none" w:sz="0" w:space="0" w:color="auto"/>
                    <w:bottom w:val="none" w:sz="0" w:space="0" w:color="auto"/>
                    <w:right w:val="none" w:sz="0" w:space="0" w:color="auto"/>
                  </w:divBdr>
                </w:div>
              </w:divsChild>
            </w:div>
            <w:div w:id="1690333948">
              <w:marLeft w:val="0"/>
              <w:marRight w:val="0"/>
              <w:marTop w:val="0"/>
              <w:marBottom w:val="0"/>
              <w:divBdr>
                <w:top w:val="none" w:sz="0" w:space="0" w:color="auto"/>
                <w:left w:val="none" w:sz="0" w:space="0" w:color="auto"/>
                <w:bottom w:val="none" w:sz="0" w:space="0" w:color="auto"/>
                <w:right w:val="none" w:sz="0" w:space="0" w:color="auto"/>
              </w:divBdr>
              <w:divsChild>
                <w:div w:id="759912367">
                  <w:marLeft w:val="0"/>
                  <w:marRight w:val="0"/>
                  <w:marTop w:val="0"/>
                  <w:marBottom w:val="0"/>
                  <w:divBdr>
                    <w:top w:val="none" w:sz="0" w:space="0" w:color="auto"/>
                    <w:left w:val="none" w:sz="0" w:space="0" w:color="auto"/>
                    <w:bottom w:val="none" w:sz="0" w:space="0" w:color="auto"/>
                    <w:right w:val="none" w:sz="0" w:space="0" w:color="auto"/>
                  </w:divBdr>
                </w:div>
              </w:divsChild>
            </w:div>
            <w:div w:id="2035762879">
              <w:marLeft w:val="0"/>
              <w:marRight w:val="0"/>
              <w:marTop w:val="0"/>
              <w:marBottom w:val="0"/>
              <w:divBdr>
                <w:top w:val="none" w:sz="0" w:space="0" w:color="auto"/>
                <w:left w:val="none" w:sz="0" w:space="0" w:color="auto"/>
                <w:bottom w:val="none" w:sz="0" w:space="0" w:color="auto"/>
                <w:right w:val="none" w:sz="0" w:space="0" w:color="auto"/>
              </w:divBdr>
              <w:divsChild>
                <w:div w:id="1209029808">
                  <w:marLeft w:val="0"/>
                  <w:marRight w:val="0"/>
                  <w:marTop w:val="0"/>
                  <w:marBottom w:val="0"/>
                  <w:divBdr>
                    <w:top w:val="none" w:sz="0" w:space="0" w:color="auto"/>
                    <w:left w:val="none" w:sz="0" w:space="0" w:color="auto"/>
                    <w:bottom w:val="none" w:sz="0" w:space="0" w:color="auto"/>
                    <w:right w:val="none" w:sz="0" w:space="0" w:color="auto"/>
                  </w:divBdr>
                </w:div>
              </w:divsChild>
            </w:div>
            <w:div w:id="1108046199">
              <w:marLeft w:val="0"/>
              <w:marRight w:val="0"/>
              <w:marTop w:val="0"/>
              <w:marBottom w:val="0"/>
              <w:divBdr>
                <w:top w:val="none" w:sz="0" w:space="0" w:color="auto"/>
                <w:left w:val="none" w:sz="0" w:space="0" w:color="auto"/>
                <w:bottom w:val="none" w:sz="0" w:space="0" w:color="auto"/>
                <w:right w:val="none" w:sz="0" w:space="0" w:color="auto"/>
              </w:divBdr>
              <w:divsChild>
                <w:div w:id="838275822">
                  <w:marLeft w:val="0"/>
                  <w:marRight w:val="0"/>
                  <w:marTop w:val="0"/>
                  <w:marBottom w:val="0"/>
                  <w:divBdr>
                    <w:top w:val="none" w:sz="0" w:space="0" w:color="auto"/>
                    <w:left w:val="none" w:sz="0" w:space="0" w:color="auto"/>
                    <w:bottom w:val="none" w:sz="0" w:space="0" w:color="auto"/>
                    <w:right w:val="none" w:sz="0" w:space="0" w:color="auto"/>
                  </w:divBdr>
                </w:div>
              </w:divsChild>
            </w:div>
            <w:div w:id="399912790">
              <w:marLeft w:val="0"/>
              <w:marRight w:val="0"/>
              <w:marTop w:val="0"/>
              <w:marBottom w:val="0"/>
              <w:divBdr>
                <w:top w:val="none" w:sz="0" w:space="0" w:color="auto"/>
                <w:left w:val="none" w:sz="0" w:space="0" w:color="auto"/>
                <w:bottom w:val="none" w:sz="0" w:space="0" w:color="auto"/>
                <w:right w:val="none" w:sz="0" w:space="0" w:color="auto"/>
              </w:divBdr>
              <w:divsChild>
                <w:div w:id="370345561">
                  <w:marLeft w:val="0"/>
                  <w:marRight w:val="0"/>
                  <w:marTop w:val="0"/>
                  <w:marBottom w:val="0"/>
                  <w:divBdr>
                    <w:top w:val="none" w:sz="0" w:space="0" w:color="auto"/>
                    <w:left w:val="none" w:sz="0" w:space="0" w:color="auto"/>
                    <w:bottom w:val="none" w:sz="0" w:space="0" w:color="auto"/>
                    <w:right w:val="none" w:sz="0" w:space="0" w:color="auto"/>
                  </w:divBdr>
                </w:div>
              </w:divsChild>
            </w:div>
            <w:div w:id="899369582">
              <w:marLeft w:val="0"/>
              <w:marRight w:val="0"/>
              <w:marTop w:val="0"/>
              <w:marBottom w:val="0"/>
              <w:divBdr>
                <w:top w:val="none" w:sz="0" w:space="0" w:color="auto"/>
                <w:left w:val="none" w:sz="0" w:space="0" w:color="auto"/>
                <w:bottom w:val="none" w:sz="0" w:space="0" w:color="auto"/>
                <w:right w:val="none" w:sz="0" w:space="0" w:color="auto"/>
              </w:divBdr>
              <w:divsChild>
                <w:div w:id="20978718">
                  <w:marLeft w:val="0"/>
                  <w:marRight w:val="0"/>
                  <w:marTop w:val="0"/>
                  <w:marBottom w:val="0"/>
                  <w:divBdr>
                    <w:top w:val="none" w:sz="0" w:space="0" w:color="auto"/>
                    <w:left w:val="none" w:sz="0" w:space="0" w:color="auto"/>
                    <w:bottom w:val="none" w:sz="0" w:space="0" w:color="auto"/>
                    <w:right w:val="none" w:sz="0" w:space="0" w:color="auto"/>
                  </w:divBdr>
                </w:div>
              </w:divsChild>
            </w:div>
            <w:div w:id="157430026">
              <w:marLeft w:val="0"/>
              <w:marRight w:val="0"/>
              <w:marTop w:val="0"/>
              <w:marBottom w:val="0"/>
              <w:divBdr>
                <w:top w:val="none" w:sz="0" w:space="0" w:color="auto"/>
                <w:left w:val="none" w:sz="0" w:space="0" w:color="auto"/>
                <w:bottom w:val="none" w:sz="0" w:space="0" w:color="auto"/>
                <w:right w:val="none" w:sz="0" w:space="0" w:color="auto"/>
              </w:divBdr>
              <w:divsChild>
                <w:div w:id="207450587">
                  <w:marLeft w:val="0"/>
                  <w:marRight w:val="0"/>
                  <w:marTop w:val="0"/>
                  <w:marBottom w:val="0"/>
                  <w:divBdr>
                    <w:top w:val="none" w:sz="0" w:space="0" w:color="auto"/>
                    <w:left w:val="none" w:sz="0" w:space="0" w:color="auto"/>
                    <w:bottom w:val="none" w:sz="0" w:space="0" w:color="auto"/>
                    <w:right w:val="none" w:sz="0" w:space="0" w:color="auto"/>
                  </w:divBdr>
                </w:div>
              </w:divsChild>
            </w:div>
            <w:div w:id="530992960">
              <w:marLeft w:val="0"/>
              <w:marRight w:val="0"/>
              <w:marTop w:val="0"/>
              <w:marBottom w:val="0"/>
              <w:divBdr>
                <w:top w:val="none" w:sz="0" w:space="0" w:color="auto"/>
                <w:left w:val="none" w:sz="0" w:space="0" w:color="auto"/>
                <w:bottom w:val="none" w:sz="0" w:space="0" w:color="auto"/>
                <w:right w:val="none" w:sz="0" w:space="0" w:color="auto"/>
              </w:divBdr>
              <w:divsChild>
                <w:div w:id="1847094427">
                  <w:marLeft w:val="0"/>
                  <w:marRight w:val="0"/>
                  <w:marTop w:val="0"/>
                  <w:marBottom w:val="0"/>
                  <w:divBdr>
                    <w:top w:val="none" w:sz="0" w:space="0" w:color="auto"/>
                    <w:left w:val="none" w:sz="0" w:space="0" w:color="auto"/>
                    <w:bottom w:val="none" w:sz="0" w:space="0" w:color="auto"/>
                    <w:right w:val="none" w:sz="0" w:space="0" w:color="auto"/>
                  </w:divBdr>
                </w:div>
              </w:divsChild>
            </w:div>
            <w:div w:id="1108235905">
              <w:marLeft w:val="0"/>
              <w:marRight w:val="0"/>
              <w:marTop w:val="0"/>
              <w:marBottom w:val="0"/>
              <w:divBdr>
                <w:top w:val="none" w:sz="0" w:space="0" w:color="auto"/>
                <w:left w:val="none" w:sz="0" w:space="0" w:color="auto"/>
                <w:bottom w:val="none" w:sz="0" w:space="0" w:color="auto"/>
                <w:right w:val="none" w:sz="0" w:space="0" w:color="auto"/>
              </w:divBdr>
              <w:divsChild>
                <w:div w:id="1642998815">
                  <w:marLeft w:val="0"/>
                  <w:marRight w:val="0"/>
                  <w:marTop w:val="0"/>
                  <w:marBottom w:val="0"/>
                  <w:divBdr>
                    <w:top w:val="none" w:sz="0" w:space="0" w:color="auto"/>
                    <w:left w:val="none" w:sz="0" w:space="0" w:color="auto"/>
                    <w:bottom w:val="none" w:sz="0" w:space="0" w:color="auto"/>
                    <w:right w:val="none" w:sz="0" w:space="0" w:color="auto"/>
                  </w:divBdr>
                </w:div>
              </w:divsChild>
            </w:div>
            <w:div w:id="1407147748">
              <w:marLeft w:val="0"/>
              <w:marRight w:val="0"/>
              <w:marTop w:val="0"/>
              <w:marBottom w:val="0"/>
              <w:divBdr>
                <w:top w:val="none" w:sz="0" w:space="0" w:color="auto"/>
                <w:left w:val="none" w:sz="0" w:space="0" w:color="auto"/>
                <w:bottom w:val="none" w:sz="0" w:space="0" w:color="auto"/>
                <w:right w:val="none" w:sz="0" w:space="0" w:color="auto"/>
              </w:divBdr>
              <w:divsChild>
                <w:div w:id="904528595">
                  <w:marLeft w:val="0"/>
                  <w:marRight w:val="0"/>
                  <w:marTop w:val="0"/>
                  <w:marBottom w:val="0"/>
                  <w:divBdr>
                    <w:top w:val="none" w:sz="0" w:space="0" w:color="auto"/>
                    <w:left w:val="none" w:sz="0" w:space="0" w:color="auto"/>
                    <w:bottom w:val="none" w:sz="0" w:space="0" w:color="auto"/>
                    <w:right w:val="none" w:sz="0" w:space="0" w:color="auto"/>
                  </w:divBdr>
                </w:div>
              </w:divsChild>
            </w:div>
            <w:div w:id="1632899854">
              <w:marLeft w:val="0"/>
              <w:marRight w:val="0"/>
              <w:marTop w:val="0"/>
              <w:marBottom w:val="0"/>
              <w:divBdr>
                <w:top w:val="none" w:sz="0" w:space="0" w:color="auto"/>
                <w:left w:val="none" w:sz="0" w:space="0" w:color="auto"/>
                <w:bottom w:val="none" w:sz="0" w:space="0" w:color="auto"/>
                <w:right w:val="none" w:sz="0" w:space="0" w:color="auto"/>
              </w:divBdr>
              <w:divsChild>
                <w:div w:id="69079164">
                  <w:marLeft w:val="0"/>
                  <w:marRight w:val="0"/>
                  <w:marTop w:val="0"/>
                  <w:marBottom w:val="0"/>
                  <w:divBdr>
                    <w:top w:val="none" w:sz="0" w:space="0" w:color="auto"/>
                    <w:left w:val="none" w:sz="0" w:space="0" w:color="auto"/>
                    <w:bottom w:val="none" w:sz="0" w:space="0" w:color="auto"/>
                    <w:right w:val="none" w:sz="0" w:space="0" w:color="auto"/>
                  </w:divBdr>
                </w:div>
              </w:divsChild>
            </w:div>
            <w:div w:id="936065070">
              <w:marLeft w:val="0"/>
              <w:marRight w:val="0"/>
              <w:marTop w:val="0"/>
              <w:marBottom w:val="0"/>
              <w:divBdr>
                <w:top w:val="none" w:sz="0" w:space="0" w:color="auto"/>
                <w:left w:val="none" w:sz="0" w:space="0" w:color="auto"/>
                <w:bottom w:val="none" w:sz="0" w:space="0" w:color="auto"/>
                <w:right w:val="none" w:sz="0" w:space="0" w:color="auto"/>
              </w:divBdr>
              <w:divsChild>
                <w:div w:id="382103948">
                  <w:marLeft w:val="0"/>
                  <w:marRight w:val="0"/>
                  <w:marTop w:val="0"/>
                  <w:marBottom w:val="0"/>
                  <w:divBdr>
                    <w:top w:val="none" w:sz="0" w:space="0" w:color="auto"/>
                    <w:left w:val="none" w:sz="0" w:space="0" w:color="auto"/>
                    <w:bottom w:val="none" w:sz="0" w:space="0" w:color="auto"/>
                    <w:right w:val="none" w:sz="0" w:space="0" w:color="auto"/>
                  </w:divBdr>
                </w:div>
              </w:divsChild>
            </w:div>
            <w:div w:id="751463621">
              <w:marLeft w:val="0"/>
              <w:marRight w:val="0"/>
              <w:marTop w:val="0"/>
              <w:marBottom w:val="0"/>
              <w:divBdr>
                <w:top w:val="none" w:sz="0" w:space="0" w:color="auto"/>
                <w:left w:val="none" w:sz="0" w:space="0" w:color="auto"/>
                <w:bottom w:val="none" w:sz="0" w:space="0" w:color="auto"/>
                <w:right w:val="none" w:sz="0" w:space="0" w:color="auto"/>
              </w:divBdr>
              <w:divsChild>
                <w:div w:id="1308586206">
                  <w:marLeft w:val="0"/>
                  <w:marRight w:val="0"/>
                  <w:marTop w:val="0"/>
                  <w:marBottom w:val="0"/>
                  <w:divBdr>
                    <w:top w:val="none" w:sz="0" w:space="0" w:color="auto"/>
                    <w:left w:val="none" w:sz="0" w:space="0" w:color="auto"/>
                    <w:bottom w:val="none" w:sz="0" w:space="0" w:color="auto"/>
                    <w:right w:val="none" w:sz="0" w:space="0" w:color="auto"/>
                  </w:divBdr>
                </w:div>
              </w:divsChild>
            </w:div>
            <w:div w:id="830411961">
              <w:marLeft w:val="0"/>
              <w:marRight w:val="0"/>
              <w:marTop w:val="0"/>
              <w:marBottom w:val="0"/>
              <w:divBdr>
                <w:top w:val="none" w:sz="0" w:space="0" w:color="auto"/>
                <w:left w:val="none" w:sz="0" w:space="0" w:color="auto"/>
                <w:bottom w:val="none" w:sz="0" w:space="0" w:color="auto"/>
                <w:right w:val="none" w:sz="0" w:space="0" w:color="auto"/>
              </w:divBdr>
              <w:divsChild>
                <w:div w:id="5969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7243">
          <w:marLeft w:val="0"/>
          <w:marRight w:val="0"/>
          <w:marTop w:val="0"/>
          <w:marBottom w:val="0"/>
          <w:divBdr>
            <w:top w:val="none" w:sz="0" w:space="0" w:color="auto"/>
            <w:left w:val="none" w:sz="0" w:space="0" w:color="auto"/>
            <w:bottom w:val="none" w:sz="0" w:space="0" w:color="auto"/>
            <w:right w:val="none" w:sz="0" w:space="0" w:color="auto"/>
          </w:divBdr>
          <w:divsChild>
            <w:div w:id="654187419">
              <w:marLeft w:val="0"/>
              <w:marRight w:val="0"/>
              <w:marTop w:val="0"/>
              <w:marBottom w:val="0"/>
              <w:divBdr>
                <w:top w:val="none" w:sz="0" w:space="0" w:color="auto"/>
                <w:left w:val="none" w:sz="0" w:space="0" w:color="auto"/>
                <w:bottom w:val="none" w:sz="0" w:space="0" w:color="auto"/>
                <w:right w:val="none" w:sz="0" w:space="0" w:color="auto"/>
              </w:divBdr>
              <w:divsChild>
                <w:div w:id="500000463">
                  <w:marLeft w:val="0"/>
                  <w:marRight w:val="0"/>
                  <w:marTop w:val="0"/>
                  <w:marBottom w:val="0"/>
                  <w:divBdr>
                    <w:top w:val="none" w:sz="0" w:space="0" w:color="auto"/>
                    <w:left w:val="none" w:sz="0" w:space="0" w:color="auto"/>
                    <w:bottom w:val="none" w:sz="0" w:space="0" w:color="auto"/>
                    <w:right w:val="none" w:sz="0" w:space="0" w:color="auto"/>
                  </w:divBdr>
                </w:div>
              </w:divsChild>
            </w:div>
            <w:div w:id="892083528">
              <w:marLeft w:val="0"/>
              <w:marRight w:val="0"/>
              <w:marTop w:val="0"/>
              <w:marBottom w:val="0"/>
              <w:divBdr>
                <w:top w:val="none" w:sz="0" w:space="0" w:color="auto"/>
                <w:left w:val="none" w:sz="0" w:space="0" w:color="auto"/>
                <w:bottom w:val="none" w:sz="0" w:space="0" w:color="auto"/>
                <w:right w:val="none" w:sz="0" w:space="0" w:color="auto"/>
              </w:divBdr>
              <w:divsChild>
                <w:div w:id="671025834">
                  <w:marLeft w:val="0"/>
                  <w:marRight w:val="0"/>
                  <w:marTop w:val="0"/>
                  <w:marBottom w:val="0"/>
                  <w:divBdr>
                    <w:top w:val="none" w:sz="0" w:space="0" w:color="auto"/>
                    <w:left w:val="none" w:sz="0" w:space="0" w:color="auto"/>
                    <w:bottom w:val="none" w:sz="0" w:space="0" w:color="auto"/>
                    <w:right w:val="none" w:sz="0" w:space="0" w:color="auto"/>
                  </w:divBdr>
                </w:div>
              </w:divsChild>
            </w:div>
            <w:div w:id="979190225">
              <w:marLeft w:val="0"/>
              <w:marRight w:val="0"/>
              <w:marTop w:val="0"/>
              <w:marBottom w:val="0"/>
              <w:divBdr>
                <w:top w:val="none" w:sz="0" w:space="0" w:color="auto"/>
                <w:left w:val="none" w:sz="0" w:space="0" w:color="auto"/>
                <w:bottom w:val="none" w:sz="0" w:space="0" w:color="auto"/>
                <w:right w:val="none" w:sz="0" w:space="0" w:color="auto"/>
              </w:divBdr>
              <w:divsChild>
                <w:div w:id="1574895984">
                  <w:marLeft w:val="0"/>
                  <w:marRight w:val="0"/>
                  <w:marTop w:val="0"/>
                  <w:marBottom w:val="0"/>
                  <w:divBdr>
                    <w:top w:val="none" w:sz="0" w:space="0" w:color="auto"/>
                    <w:left w:val="none" w:sz="0" w:space="0" w:color="auto"/>
                    <w:bottom w:val="none" w:sz="0" w:space="0" w:color="auto"/>
                    <w:right w:val="none" w:sz="0" w:space="0" w:color="auto"/>
                  </w:divBdr>
                </w:div>
              </w:divsChild>
            </w:div>
            <w:div w:id="328825367">
              <w:marLeft w:val="0"/>
              <w:marRight w:val="0"/>
              <w:marTop w:val="0"/>
              <w:marBottom w:val="0"/>
              <w:divBdr>
                <w:top w:val="none" w:sz="0" w:space="0" w:color="auto"/>
                <w:left w:val="none" w:sz="0" w:space="0" w:color="auto"/>
                <w:bottom w:val="none" w:sz="0" w:space="0" w:color="auto"/>
                <w:right w:val="none" w:sz="0" w:space="0" w:color="auto"/>
              </w:divBdr>
              <w:divsChild>
                <w:div w:id="102068723">
                  <w:marLeft w:val="0"/>
                  <w:marRight w:val="0"/>
                  <w:marTop w:val="0"/>
                  <w:marBottom w:val="0"/>
                  <w:divBdr>
                    <w:top w:val="none" w:sz="0" w:space="0" w:color="auto"/>
                    <w:left w:val="none" w:sz="0" w:space="0" w:color="auto"/>
                    <w:bottom w:val="none" w:sz="0" w:space="0" w:color="auto"/>
                    <w:right w:val="none" w:sz="0" w:space="0" w:color="auto"/>
                  </w:divBdr>
                </w:div>
              </w:divsChild>
            </w:div>
            <w:div w:id="74135431">
              <w:marLeft w:val="0"/>
              <w:marRight w:val="0"/>
              <w:marTop w:val="0"/>
              <w:marBottom w:val="0"/>
              <w:divBdr>
                <w:top w:val="none" w:sz="0" w:space="0" w:color="auto"/>
                <w:left w:val="none" w:sz="0" w:space="0" w:color="auto"/>
                <w:bottom w:val="none" w:sz="0" w:space="0" w:color="auto"/>
                <w:right w:val="none" w:sz="0" w:space="0" w:color="auto"/>
              </w:divBdr>
              <w:divsChild>
                <w:div w:id="2047296373">
                  <w:marLeft w:val="0"/>
                  <w:marRight w:val="0"/>
                  <w:marTop w:val="0"/>
                  <w:marBottom w:val="0"/>
                  <w:divBdr>
                    <w:top w:val="none" w:sz="0" w:space="0" w:color="auto"/>
                    <w:left w:val="none" w:sz="0" w:space="0" w:color="auto"/>
                    <w:bottom w:val="none" w:sz="0" w:space="0" w:color="auto"/>
                    <w:right w:val="none" w:sz="0" w:space="0" w:color="auto"/>
                  </w:divBdr>
                </w:div>
              </w:divsChild>
            </w:div>
            <w:div w:id="74785728">
              <w:marLeft w:val="0"/>
              <w:marRight w:val="0"/>
              <w:marTop w:val="0"/>
              <w:marBottom w:val="0"/>
              <w:divBdr>
                <w:top w:val="none" w:sz="0" w:space="0" w:color="auto"/>
                <w:left w:val="none" w:sz="0" w:space="0" w:color="auto"/>
                <w:bottom w:val="none" w:sz="0" w:space="0" w:color="auto"/>
                <w:right w:val="none" w:sz="0" w:space="0" w:color="auto"/>
              </w:divBdr>
              <w:divsChild>
                <w:div w:id="1394427265">
                  <w:marLeft w:val="0"/>
                  <w:marRight w:val="0"/>
                  <w:marTop w:val="0"/>
                  <w:marBottom w:val="0"/>
                  <w:divBdr>
                    <w:top w:val="none" w:sz="0" w:space="0" w:color="auto"/>
                    <w:left w:val="none" w:sz="0" w:space="0" w:color="auto"/>
                    <w:bottom w:val="none" w:sz="0" w:space="0" w:color="auto"/>
                    <w:right w:val="none" w:sz="0" w:space="0" w:color="auto"/>
                  </w:divBdr>
                </w:div>
              </w:divsChild>
            </w:div>
            <w:div w:id="1605377688">
              <w:marLeft w:val="0"/>
              <w:marRight w:val="0"/>
              <w:marTop w:val="0"/>
              <w:marBottom w:val="0"/>
              <w:divBdr>
                <w:top w:val="none" w:sz="0" w:space="0" w:color="auto"/>
                <w:left w:val="none" w:sz="0" w:space="0" w:color="auto"/>
                <w:bottom w:val="none" w:sz="0" w:space="0" w:color="auto"/>
                <w:right w:val="none" w:sz="0" w:space="0" w:color="auto"/>
              </w:divBdr>
              <w:divsChild>
                <w:div w:id="454912550">
                  <w:marLeft w:val="0"/>
                  <w:marRight w:val="0"/>
                  <w:marTop w:val="0"/>
                  <w:marBottom w:val="0"/>
                  <w:divBdr>
                    <w:top w:val="none" w:sz="0" w:space="0" w:color="auto"/>
                    <w:left w:val="none" w:sz="0" w:space="0" w:color="auto"/>
                    <w:bottom w:val="none" w:sz="0" w:space="0" w:color="auto"/>
                    <w:right w:val="none" w:sz="0" w:space="0" w:color="auto"/>
                  </w:divBdr>
                </w:div>
              </w:divsChild>
            </w:div>
            <w:div w:id="1579319164">
              <w:marLeft w:val="0"/>
              <w:marRight w:val="0"/>
              <w:marTop w:val="0"/>
              <w:marBottom w:val="0"/>
              <w:divBdr>
                <w:top w:val="none" w:sz="0" w:space="0" w:color="auto"/>
                <w:left w:val="none" w:sz="0" w:space="0" w:color="auto"/>
                <w:bottom w:val="none" w:sz="0" w:space="0" w:color="auto"/>
                <w:right w:val="none" w:sz="0" w:space="0" w:color="auto"/>
              </w:divBdr>
              <w:divsChild>
                <w:div w:id="1104418253">
                  <w:marLeft w:val="0"/>
                  <w:marRight w:val="0"/>
                  <w:marTop w:val="0"/>
                  <w:marBottom w:val="0"/>
                  <w:divBdr>
                    <w:top w:val="none" w:sz="0" w:space="0" w:color="auto"/>
                    <w:left w:val="none" w:sz="0" w:space="0" w:color="auto"/>
                    <w:bottom w:val="none" w:sz="0" w:space="0" w:color="auto"/>
                    <w:right w:val="none" w:sz="0" w:space="0" w:color="auto"/>
                  </w:divBdr>
                </w:div>
              </w:divsChild>
            </w:div>
            <w:div w:id="1020007989">
              <w:marLeft w:val="0"/>
              <w:marRight w:val="0"/>
              <w:marTop w:val="0"/>
              <w:marBottom w:val="0"/>
              <w:divBdr>
                <w:top w:val="none" w:sz="0" w:space="0" w:color="auto"/>
                <w:left w:val="none" w:sz="0" w:space="0" w:color="auto"/>
                <w:bottom w:val="none" w:sz="0" w:space="0" w:color="auto"/>
                <w:right w:val="none" w:sz="0" w:space="0" w:color="auto"/>
              </w:divBdr>
              <w:divsChild>
                <w:div w:id="1911889213">
                  <w:marLeft w:val="0"/>
                  <w:marRight w:val="0"/>
                  <w:marTop w:val="0"/>
                  <w:marBottom w:val="0"/>
                  <w:divBdr>
                    <w:top w:val="none" w:sz="0" w:space="0" w:color="auto"/>
                    <w:left w:val="none" w:sz="0" w:space="0" w:color="auto"/>
                    <w:bottom w:val="none" w:sz="0" w:space="0" w:color="auto"/>
                    <w:right w:val="none" w:sz="0" w:space="0" w:color="auto"/>
                  </w:divBdr>
                </w:div>
              </w:divsChild>
            </w:div>
            <w:div w:id="73819006">
              <w:marLeft w:val="0"/>
              <w:marRight w:val="0"/>
              <w:marTop w:val="0"/>
              <w:marBottom w:val="0"/>
              <w:divBdr>
                <w:top w:val="none" w:sz="0" w:space="0" w:color="auto"/>
                <w:left w:val="none" w:sz="0" w:space="0" w:color="auto"/>
                <w:bottom w:val="none" w:sz="0" w:space="0" w:color="auto"/>
                <w:right w:val="none" w:sz="0" w:space="0" w:color="auto"/>
              </w:divBdr>
              <w:divsChild>
                <w:div w:id="117795591">
                  <w:marLeft w:val="0"/>
                  <w:marRight w:val="0"/>
                  <w:marTop w:val="0"/>
                  <w:marBottom w:val="0"/>
                  <w:divBdr>
                    <w:top w:val="none" w:sz="0" w:space="0" w:color="auto"/>
                    <w:left w:val="none" w:sz="0" w:space="0" w:color="auto"/>
                    <w:bottom w:val="none" w:sz="0" w:space="0" w:color="auto"/>
                    <w:right w:val="none" w:sz="0" w:space="0" w:color="auto"/>
                  </w:divBdr>
                </w:div>
              </w:divsChild>
            </w:div>
            <w:div w:id="1590654562">
              <w:marLeft w:val="0"/>
              <w:marRight w:val="0"/>
              <w:marTop w:val="0"/>
              <w:marBottom w:val="0"/>
              <w:divBdr>
                <w:top w:val="none" w:sz="0" w:space="0" w:color="auto"/>
                <w:left w:val="none" w:sz="0" w:space="0" w:color="auto"/>
                <w:bottom w:val="none" w:sz="0" w:space="0" w:color="auto"/>
                <w:right w:val="none" w:sz="0" w:space="0" w:color="auto"/>
              </w:divBdr>
              <w:divsChild>
                <w:div w:id="1853185964">
                  <w:marLeft w:val="0"/>
                  <w:marRight w:val="0"/>
                  <w:marTop w:val="0"/>
                  <w:marBottom w:val="0"/>
                  <w:divBdr>
                    <w:top w:val="none" w:sz="0" w:space="0" w:color="auto"/>
                    <w:left w:val="none" w:sz="0" w:space="0" w:color="auto"/>
                    <w:bottom w:val="none" w:sz="0" w:space="0" w:color="auto"/>
                    <w:right w:val="none" w:sz="0" w:space="0" w:color="auto"/>
                  </w:divBdr>
                </w:div>
              </w:divsChild>
            </w:div>
            <w:div w:id="1464423300">
              <w:marLeft w:val="0"/>
              <w:marRight w:val="0"/>
              <w:marTop w:val="0"/>
              <w:marBottom w:val="0"/>
              <w:divBdr>
                <w:top w:val="none" w:sz="0" w:space="0" w:color="auto"/>
                <w:left w:val="none" w:sz="0" w:space="0" w:color="auto"/>
                <w:bottom w:val="none" w:sz="0" w:space="0" w:color="auto"/>
                <w:right w:val="none" w:sz="0" w:space="0" w:color="auto"/>
              </w:divBdr>
              <w:divsChild>
                <w:div w:id="847058624">
                  <w:marLeft w:val="0"/>
                  <w:marRight w:val="0"/>
                  <w:marTop w:val="0"/>
                  <w:marBottom w:val="0"/>
                  <w:divBdr>
                    <w:top w:val="none" w:sz="0" w:space="0" w:color="auto"/>
                    <w:left w:val="none" w:sz="0" w:space="0" w:color="auto"/>
                    <w:bottom w:val="none" w:sz="0" w:space="0" w:color="auto"/>
                    <w:right w:val="none" w:sz="0" w:space="0" w:color="auto"/>
                  </w:divBdr>
                </w:div>
              </w:divsChild>
            </w:div>
            <w:div w:id="807283463">
              <w:marLeft w:val="0"/>
              <w:marRight w:val="0"/>
              <w:marTop w:val="0"/>
              <w:marBottom w:val="0"/>
              <w:divBdr>
                <w:top w:val="none" w:sz="0" w:space="0" w:color="auto"/>
                <w:left w:val="none" w:sz="0" w:space="0" w:color="auto"/>
                <w:bottom w:val="none" w:sz="0" w:space="0" w:color="auto"/>
                <w:right w:val="none" w:sz="0" w:space="0" w:color="auto"/>
              </w:divBdr>
              <w:divsChild>
                <w:div w:id="26756742">
                  <w:marLeft w:val="0"/>
                  <w:marRight w:val="0"/>
                  <w:marTop w:val="0"/>
                  <w:marBottom w:val="0"/>
                  <w:divBdr>
                    <w:top w:val="none" w:sz="0" w:space="0" w:color="auto"/>
                    <w:left w:val="none" w:sz="0" w:space="0" w:color="auto"/>
                    <w:bottom w:val="none" w:sz="0" w:space="0" w:color="auto"/>
                    <w:right w:val="none" w:sz="0" w:space="0" w:color="auto"/>
                  </w:divBdr>
                </w:div>
              </w:divsChild>
            </w:div>
            <w:div w:id="940795420">
              <w:marLeft w:val="0"/>
              <w:marRight w:val="0"/>
              <w:marTop w:val="0"/>
              <w:marBottom w:val="0"/>
              <w:divBdr>
                <w:top w:val="none" w:sz="0" w:space="0" w:color="auto"/>
                <w:left w:val="none" w:sz="0" w:space="0" w:color="auto"/>
                <w:bottom w:val="none" w:sz="0" w:space="0" w:color="auto"/>
                <w:right w:val="none" w:sz="0" w:space="0" w:color="auto"/>
              </w:divBdr>
              <w:divsChild>
                <w:div w:id="1045642396">
                  <w:marLeft w:val="0"/>
                  <w:marRight w:val="0"/>
                  <w:marTop w:val="0"/>
                  <w:marBottom w:val="0"/>
                  <w:divBdr>
                    <w:top w:val="none" w:sz="0" w:space="0" w:color="auto"/>
                    <w:left w:val="none" w:sz="0" w:space="0" w:color="auto"/>
                    <w:bottom w:val="none" w:sz="0" w:space="0" w:color="auto"/>
                    <w:right w:val="none" w:sz="0" w:space="0" w:color="auto"/>
                  </w:divBdr>
                </w:div>
              </w:divsChild>
            </w:div>
            <w:div w:id="603804917">
              <w:marLeft w:val="0"/>
              <w:marRight w:val="0"/>
              <w:marTop w:val="0"/>
              <w:marBottom w:val="0"/>
              <w:divBdr>
                <w:top w:val="none" w:sz="0" w:space="0" w:color="auto"/>
                <w:left w:val="none" w:sz="0" w:space="0" w:color="auto"/>
                <w:bottom w:val="none" w:sz="0" w:space="0" w:color="auto"/>
                <w:right w:val="none" w:sz="0" w:space="0" w:color="auto"/>
              </w:divBdr>
              <w:divsChild>
                <w:div w:id="1867139778">
                  <w:marLeft w:val="0"/>
                  <w:marRight w:val="0"/>
                  <w:marTop w:val="0"/>
                  <w:marBottom w:val="0"/>
                  <w:divBdr>
                    <w:top w:val="none" w:sz="0" w:space="0" w:color="auto"/>
                    <w:left w:val="none" w:sz="0" w:space="0" w:color="auto"/>
                    <w:bottom w:val="none" w:sz="0" w:space="0" w:color="auto"/>
                    <w:right w:val="none" w:sz="0" w:space="0" w:color="auto"/>
                  </w:divBdr>
                </w:div>
              </w:divsChild>
            </w:div>
            <w:div w:id="1191530925">
              <w:marLeft w:val="0"/>
              <w:marRight w:val="0"/>
              <w:marTop w:val="0"/>
              <w:marBottom w:val="0"/>
              <w:divBdr>
                <w:top w:val="none" w:sz="0" w:space="0" w:color="auto"/>
                <w:left w:val="none" w:sz="0" w:space="0" w:color="auto"/>
                <w:bottom w:val="none" w:sz="0" w:space="0" w:color="auto"/>
                <w:right w:val="none" w:sz="0" w:space="0" w:color="auto"/>
              </w:divBdr>
              <w:divsChild>
                <w:div w:id="1266617136">
                  <w:marLeft w:val="0"/>
                  <w:marRight w:val="0"/>
                  <w:marTop w:val="0"/>
                  <w:marBottom w:val="0"/>
                  <w:divBdr>
                    <w:top w:val="none" w:sz="0" w:space="0" w:color="auto"/>
                    <w:left w:val="none" w:sz="0" w:space="0" w:color="auto"/>
                    <w:bottom w:val="none" w:sz="0" w:space="0" w:color="auto"/>
                    <w:right w:val="none" w:sz="0" w:space="0" w:color="auto"/>
                  </w:divBdr>
                </w:div>
              </w:divsChild>
            </w:div>
            <w:div w:id="1150710147">
              <w:marLeft w:val="0"/>
              <w:marRight w:val="0"/>
              <w:marTop w:val="0"/>
              <w:marBottom w:val="0"/>
              <w:divBdr>
                <w:top w:val="none" w:sz="0" w:space="0" w:color="auto"/>
                <w:left w:val="none" w:sz="0" w:space="0" w:color="auto"/>
                <w:bottom w:val="none" w:sz="0" w:space="0" w:color="auto"/>
                <w:right w:val="none" w:sz="0" w:space="0" w:color="auto"/>
              </w:divBdr>
              <w:divsChild>
                <w:div w:id="1755588262">
                  <w:marLeft w:val="0"/>
                  <w:marRight w:val="0"/>
                  <w:marTop w:val="0"/>
                  <w:marBottom w:val="0"/>
                  <w:divBdr>
                    <w:top w:val="none" w:sz="0" w:space="0" w:color="auto"/>
                    <w:left w:val="none" w:sz="0" w:space="0" w:color="auto"/>
                    <w:bottom w:val="none" w:sz="0" w:space="0" w:color="auto"/>
                    <w:right w:val="none" w:sz="0" w:space="0" w:color="auto"/>
                  </w:divBdr>
                </w:div>
              </w:divsChild>
            </w:div>
            <w:div w:id="1907033338">
              <w:marLeft w:val="0"/>
              <w:marRight w:val="0"/>
              <w:marTop w:val="0"/>
              <w:marBottom w:val="0"/>
              <w:divBdr>
                <w:top w:val="none" w:sz="0" w:space="0" w:color="auto"/>
                <w:left w:val="none" w:sz="0" w:space="0" w:color="auto"/>
                <w:bottom w:val="none" w:sz="0" w:space="0" w:color="auto"/>
                <w:right w:val="none" w:sz="0" w:space="0" w:color="auto"/>
              </w:divBdr>
              <w:divsChild>
                <w:div w:id="1399478988">
                  <w:marLeft w:val="0"/>
                  <w:marRight w:val="0"/>
                  <w:marTop w:val="0"/>
                  <w:marBottom w:val="0"/>
                  <w:divBdr>
                    <w:top w:val="none" w:sz="0" w:space="0" w:color="auto"/>
                    <w:left w:val="none" w:sz="0" w:space="0" w:color="auto"/>
                    <w:bottom w:val="none" w:sz="0" w:space="0" w:color="auto"/>
                    <w:right w:val="none" w:sz="0" w:space="0" w:color="auto"/>
                  </w:divBdr>
                </w:div>
              </w:divsChild>
            </w:div>
            <w:div w:id="448359684">
              <w:marLeft w:val="0"/>
              <w:marRight w:val="0"/>
              <w:marTop w:val="0"/>
              <w:marBottom w:val="0"/>
              <w:divBdr>
                <w:top w:val="none" w:sz="0" w:space="0" w:color="auto"/>
                <w:left w:val="none" w:sz="0" w:space="0" w:color="auto"/>
                <w:bottom w:val="none" w:sz="0" w:space="0" w:color="auto"/>
                <w:right w:val="none" w:sz="0" w:space="0" w:color="auto"/>
              </w:divBdr>
              <w:divsChild>
                <w:div w:id="89743571">
                  <w:marLeft w:val="0"/>
                  <w:marRight w:val="0"/>
                  <w:marTop w:val="0"/>
                  <w:marBottom w:val="0"/>
                  <w:divBdr>
                    <w:top w:val="none" w:sz="0" w:space="0" w:color="auto"/>
                    <w:left w:val="none" w:sz="0" w:space="0" w:color="auto"/>
                    <w:bottom w:val="none" w:sz="0" w:space="0" w:color="auto"/>
                    <w:right w:val="none" w:sz="0" w:space="0" w:color="auto"/>
                  </w:divBdr>
                </w:div>
              </w:divsChild>
            </w:div>
            <w:div w:id="1533960895">
              <w:marLeft w:val="0"/>
              <w:marRight w:val="0"/>
              <w:marTop w:val="0"/>
              <w:marBottom w:val="0"/>
              <w:divBdr>
                <w:top w:val="none" w:sz="0" w:space="0" w:color="auto"/>
                <w:left w:val="none" w:sz="0" w:space="0" w:color="auto"/>
                <w:bottom w:val="none" w:sz="0" w:space="0" w:color="auto"/>
                <w:right w:val="none" w:sz="0" w:space="0" w:color="auto"/>
              </w:divBdr>
              <w:divsChild>
                <w:div w:id="1708482659">
                  <w:marLeft w:val="0"/>
                  <w:marRight w:val="0"/>
                  <w:marTop w:val="0"/>
                  <w:marBottom w:val="0"/>
                  <w:divBdr>
                    <w:top w:val="none" w:sz="0" w:space="0" w:color="auto"/>
                    <w:left w:val="none" w:sz="0" w:space="0" w:color="auto"/>
                    <w:bottom w:val="none" w:sz="0" w:space="0" w:color="auto"/>
                    <w:right w:val="none" w:sz="0" w:space="0" w:color="auto"/>
                  </w:divBdr>
                </w:div>
              </w:divsChild>
            </w:div>
            <w:div w:id="1540509359">
              <w:marLeft w:val="0"/>
              <w:marRight w:val="0"/>
              <w:marTop w:val="0"/>
              <w:marBottom w:val="0"/>
              <w:divBdr>
                <w:top w:val="none" w:sz="0" w:space="0" w:color="auto"/>
                <w:left w:val="none" w:sz="0" w:space="0" w:color="auto"/>
                <w:bottom w:val="none" w:sz="0" w:space="0" w:color="auto"/>
                <w:right w:val="none" w:sz="0" w:space="0" w:color="auto"/>
              </w:divBdr>
              <w:divsChild>
                <w:div w:id="1739550333">
                  <w:marLeft w:val="0"/>
                  <w:marRight w:val="0"/>
                  <w:marTop w:val="0"/>
                  <w:marBottom w:val="0"/>
                  <w:divBdr>
                    <w:top w:val="none" w:sz="0" w:space="0" w:color="auto"/>
                    <w:left w:val="none" w:sz="0" w:space="0" w:color="auto"/>
                    <w:bottom w:val="none" w:sz="0" w:space="0" w:color="auto"/>
                    <w:right w:val="none" w:sz="0" w:space="0" w:color="auto"/>
                  </w:divBdr>
                </w:div>
              </w:divsChild>
            </w:div>
            <w:div w:id="1868644017">
              <w:marLeft w:val="0"/>
              <w:marRight w:val="0"/>
              <w:marTop w:val="0"/>
              <w:marBottom w:val="0"/>
              <w:divBdr>
                <w:top w:val="none" w:sz="0" w:space="0" w:color="auto"/>
                <w:left w:val="none" w:sz="0" w:space="0" w:color="auto"/>
                <w:bottom w:val="none" w:sz="0" w:space="0" w:color="auto"/>
                <w:right w:val="none" w:sz="0" w:space="0" w:color="auto"/>
              </w:divBdr>
              <w:divsChild>
                <w:div w:id="12126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58518">
          <w:marLeft w:val="0"/>
          <w:marRight w:val="0"/>
          <w:marTop w:val="0"/>
          <w:marBottom w:val="0"/>
          <w:divBdr>
            <w:top w:val="none" w:sz="0" w:space="0" w:color="auto"/>
            <w:left w:val="none" w:sz="0" w:space="0" w:color="auto"/>
            <w:bottom w:val="none" w:sz="0" w:space="0" w:color="auto"/>
            <w:right w:val="none" w:sz="0" w:space="0" w:color="auto"/>
          </w:divBdr>
          <w:divsChild>
            <w:div w:id="1158766749">
              <w:marLeft w:val="0"/>
              <w:marRight w:val="0"/>
              <w:marTop w:val="0"/>
              <w:marBottom w:val="0"/>
              <w:divBdr>
                <w:top w:val="none" w:sz="0" w:space="0" w:color="auto"/>
                <w:left w:val="none" w:sz="0" w:space="0" w:color="auto"/>
                <w:bottom w:val="none" w:sz="0" w:space="0" w:color="auto"/>
                <w:right w:val="none" w:sz="0" w:space="0" w:color="auto"/>
              </w:divBdr>
              <w:divsChild>
                <w:div w:id="322123705">
                  <w:marLeft w:val="0"/>
                  <w:marRight w:val="0"/>
                  <w:marTop w:val="0"/>
                  <w:marBottom w:val="0"/>
                  <w:divBdr>
                    <w:top w:val="none" w:sz="0" w:space="0" w:color="auto"/>
                    <w:left w:val="none" w:sz="0" w:space="0" w:color="auto"/>
                    <w:bottom w:val="none" w:sz="0" w:space="0" w:color="auto"/>
                    <w:right w:val="none" w:sz="0" w:space="0" w:color="auto"/>
                  </w:divBdr>
                </w:div>
              </w:divsChild>
            </w:div>
            <w:div w:id="1184245832">
              <w:marLeft w:val="0"/>
              <w:marRight w:val="0"/>
              <w:marTop w:val="0"/>
              <w:marBottom w:val="0"/>
              <w:divBdr>
                <w:top w:val="none" w:sz="0" w:space="0" w:color="auto"/>
                <w:left w:val="none" w:sz="0" w:space="0" w:color="auto"/>
                <w:bottom w:val="none" w:sz="0" w:space="0" w:color="auto"/>
                <w:right w:val="none" w:sz="0" w:space="0" w:color="auto"/>
              </w:divBdr>
              <w:divsChild>
                <w:div w:id="303705857">
                  <w:marLeft w:val="0"/>
                  <w:marRight w:val="0"/>
                  <w:marTop w:val="0"/>
                  <w:marBottom w:val="0"/>
                  <w:divBdr>
                    <w:top w:val="none" w:sz="0" w:space="0" w:color="auto"/>
                    <w:left w:val="none" w:sz="0" w:space="0" w:color="auto"/>
                    <w:bottom w:val="none" w:sz="0" w:space="0" w:color="auto"/>
                    <w:right w:val="none" w:sz="0" w:space="0" w:color="auto"/>
                  </w:divBdr>
                </w:div>
              </w:divsChild>
            </w:div>
            <w:div w:id="1216745781">
              <w:marLeft w:val="0"/>
              <w:marRight w:val="0"/>
              <w:marTop w:val="0"/>
              <w:marBottom w:val="0"/>
              <w:divBdr>
                <w:top w:val="none" w:sz="0" w:space="0" w:color="auto"/>
                <w:left w:val="none" w:sz="0" w:space="0" w:color="auto"/>
                <w:bottom w:val="none" w:sz="0" w:space="0" w:color="auto"/>
                <w:right w:val="none" w:sz="0" w:space="0" w:color="auto"/>
              </w:divBdr>
              <w:divsChild>
                <w:div w:id="1821459162">
                  <w:marLeft w:val="0"/>
                  <w:marRight w:val="0"/>
                  <w:marTop w:val="0"/>
                  <w:marBottom w:val="0"/>
                  <w:divBdr>
                    <w:top w:val="none" w:sz="0" w:space="0" w:color="auto"/>
                    <w:left w:val="none" w:sz="0" w:space="0" w:color="auto"/>
                    <w:bottom w:val="none" w:sz="0" w:space="0" w:color="auto"/>
                    <w:right w:val="none" w:sz="0" w:space="0" w:color="auto"/>
                  </w:divBdr>
                </w:div>
              </w:divsChild>
            </w:div>
            <w:div w:id="1333994554">
              <w:marLeft w:val="0"/>
              <w:marRight w:val="0"/>
              <w:marTop w:val="0"/>
              <w:marBottom w:val="0"/>
              <w:divBdr>
                <w:top w:val="none" w:sz="0" w:space="0" w:color="auto"/>
                <w:left w:val="none" w:sz="0" w:space="0" w:color="auto"/>
                <w:bottom w:val="none" w:sz="0" w:space="0" w:color="auto"/>
                <w:right w:val="none" w:sz="0" w:space="0" w:color="auto"/>
              </w:divBdr>
              <w:divsChild>
                <w:div w:id="409816068">
                  <w:marLeft w:val="0"/>
                  <w:marRight w:val="0"/>
                  <w:marTop w:val="0"/>
                  <w:marBottom w:val="0"/>
                  <w:divBdr>
                    <w:top w:val="none" w:sz="0" w:space="0" w:color="auto"/>
                    <w:left w:val="none" w:sz="0" w:space="0" w:color="auto"/>
                    <w:bottom w:val="none" w:sz="0" w:space="0" w:color="auto"/>
                    <w:right w:val="none" w:sz="0" w:space="0" w:color="auto"/>
                  </w:divBdr>
                </w:div>
              </w:divsChild>
            </w:div>
            <w:div w:id="683287896">
              <w:marLeft w:val="0"/>
              <w:marRight w:val="0"/>
              <w:marTop w:val="0"/>
              <w:marBottom w:val="0"/>
              <w:divBdr>
                <w:top w:val="none" w:sz="0" w:space="0" w:color="auto"/>
                <w:left w:val="none" w:sz="0" w:space="0" w:color="auto"/>
                <w:bottom w:val="none" w:sz="0" w:space="0" w:color="auto"/>
                <w:right w:val="none" w:sz="0" w:space="0" w:color="auto"/>
              </w:divBdr>
              <w:divsChild>
                <w:div w:id="1387223017">
                  <w:marLeft w:val="0"/>
                  <w:marRight w:val="0"/>
                  <w:marTop w:val="0"/>
                  <w:marBottom w:val="0"/>
                  <w:divBdr>
                    <w:top w:val="none" w:sz="0" w:space="0" w:color="auto"/>
                    <w:left w:val="none" w:sz="0" w:space="0" w:color="auto"/>
                    <w:bottom w:val="none" w:sz="0" w:space="0" w:color="auto"/>
                    <w:right w:val="none" w:sz="0" w:space="0" w:color="auto"/>
                  </w:divBdr>
                </w:div>
              </w:divsChild>
            </w:div>
            <w:div w:id="1164123024">
              <w:marLeft w:val="0"/>
              <w:marRight w:val="0"/>
              <w:marTop w:val="0"/>
              <w:marBottom w:val="0"/>
              <w:divBdr>
                <w:top w:val="none" w:sz="0" w:space="0" w:color="auto"/>
                <w:left w:val="none" w:sz="0" w:space="0" w:color="auto"/>
                <w:bottom w:val="none" w:sz="0" w:space="0" w:color="auto"/>
                <w:right w:val="none" w:sz="0" w:space="0" w:color="auto"/>
              </w:divBdr>
              <w:divsChild>
                <w:div w:id="945380797">
                  <w:marLeft w:val="0"/>
                  <w:marRight w:val="0"/>
                  <w:marTop w:val="0"/>
                  <w:marBottom w:val="0"/>
                  <w:divBdr>
                    <w:top w:val="none" w:sz="0" w:space="0" w:color="auto"/>
                    <w:left w:val="none" w:sz="0" w:space="0" w:color="auto"/>
                    <w:bottom w:val="none" w:sz="0" w:space="0" w:color="auto"/>
                    <w:right w:val="none" w:sz="0" w:space="0" w:color="auto"/>
                  </w:divBdr>
                </w:div>
              </w:divsChild>
            </w:div>
            <w:div w:id="487795249">
              <w:marLeft w:val="0"/>
              <w:marRight w:val="0"/>
              <w:marTop w:val="0"/>
              <w:marBottom w:val="0"/>
              <w:divBdr>
                <w:top w:val="none" w:sz="0" w:space="0" w:color="auto"/>
                <w:left w:val="none" w:sz="0" w:space="0" w:color="auto"/>
                <w:bottom w:val="none" w:sz="0" w:space="0" w:color="auto"/>
                <w:right w:val="none" w:sz="0" w:space="0" w:color="auto"/>
              </w:divBdr>
              <w:divsChild>
                <w:div w:id="2055036485">
                  <w:marLeft w:val="0"/>
                  <w:marRight w:val="0"/>
                  <w:marTop w:val="0"/>
                  <w:marBottom w:val="0"/>
                  <w:divBdr>
                    <w:top w:val="none" w:sz="0" w:space="0" w:color="auto"/>
                    <w:left w:val="none" w:sz="0" w:space="0" w:color="auto"/>
                    <w:bottom w:val="none" w:sz="0" w:space="0" w:color="auto"/>
                    <w:right w:val="none" w:sz="0" w:space="0" w:color="auto"/>
                  </w:divBdr>
                </w:div>
              </w:divsChild>
            </w:div>
            <w:div w:id="340592410">
              <w:marLeft w:val="0"/>
              <w:marRight w:val="0"/>
              <w:marTop w:val="0"/>
              <w:marBottom w:val="0"/>
              <w:divBdr>
                <w:top w:val="none" w:sz="0" w:space="0" w:color="auto"/>
                <w:left w:val="none" w:sz="0" w:space="0" w:color="auto"/>
                <w:bottom w:val="none" w:sz="0" w:space="0" w:color="auto"/>
                <w:right w:val="none" w:sz="0" w:space="0" w:color="auto"/>
              </w:divBdr>
              <w:divsChild>
                <w:div w:id="751204030">
                  <w:marLeft w:val="0"/>
                  <w:marRight w:val="0"/>
                  <w:marTop w:val="0"/>
                  <w:marBottom w:val="0"/>
                  <w:divBdr>
                    <w:top w:val="none" w:sz="0" w:space="0" w:color="auto"/>
                    <w:left w:val="none" w:sz="0" w:space="0" w:color="auto"/>
                    <w:bottom w:val="none" w:sz="0" w:space="0" w:color="auto"/>
                    <w:right w:val="none" w:sz="0" w:space="0" w:color="auto"/>
                  </w:divBdr>
                </w:div>
              </w:divsChild>
            </w:div>
            <w:div w:id="1948190640">
              <w:marLeft w:val="0"/>
              <w:marRight w:val="0"/>
              <w:marTop w:val="0"/>
              <w:marBottom w:val="0"/>
              <w:divBdr>
                <w:top w:val="none" w:sz="0" w:space="0" w:color="auto"/>
                <w:left w:val="none" w:sz="0" w:space="0" w:color="auto"/>
                <w:bottom w:val="none" w:sz="0" w:space="0" w:color="auto"/>
                <w:right w:val="none" w:sz="0" w:space="0" w:color="auto"/>
              </w:divBdr>
              <w:divsChild>
                <w:div w:id="1754011716">
                  <w:marLeft w:val="0"/>
                  <w:marRight w:val="0"/>
                  <w:marTop w:val="0"/>
                  <w:marBottom w:val="0"/>
                  <w:divBdr>
                    <w:top w:val="none" w:sz="0" w:space="0" w:color="auto"/>
                    <w:left w:val="none" w:sz="0" w:space="0" w:color="auto"/>
                    <w:bottom w:val="none" w:sz="0" w:space="0" w:color="auto"/>
                    <w:right w:val="none" w:sz="0" w:space="0" w:color="auto"/>
                  </w:divBdr>
                </w:div>
              </w:divsChild>
            </w:div>
            <w:div w:id="1690721949">
              <w:marLeft w:val="0"/>
              <w:marRight w:val="0"/>
              <w:marTop w:val="0"/>
              <w:marBottom w:val="0"/>
              <w:divBdr>
                <w:top w:val="none" w:sz="0" w:space="0" w:color="auto"/>
                <w:left w:val="none" w:sz="0" w:space="0" w:color="auto"/>
                <w:bottom w:val="none" w:sz="0" w:space="0" w:color="auto"/>
                <w:right w:val="none" w:sz="0" w:space="0" w:color="auto"/>
              </w:divBdr>
              <w:divsChild>
                <w:div w:id="1816484476">
                  <w:marLeft w:val="0"/>
                  <w:marRight w:val="0"/>
                  <w:marTop w:val="0"/>
                  <w:marBottom w:val="0"/>
                  <w:divBdr>
                    <w:top w:val="none" w:sz="0" w:space="0" w:color="auto"/>
                    <w:left w:val="none" w:sz="0" w:space="0" w:color="auto"/>
                    <w:bottom w:val="none" w:sz="0" w:space="0" w:color="auto"/>
                    <w:right w:val="none" w:sz="0" w:space="0" w:color="auto"/>
                  </w:divBdr>
                </w:div>
              </w:divsChild>
            </w:div>
            <w:div w:id="1949460484">
              <w:marLeft w:val="0"/>
              <w:marRight w:val="0"/>
              <w:marTop w:val="0"/>
              <w:marBottom w:val="0"/>
              <w:divBdr>
                <w:top w:val="none" w:sz="0" w:space="0" w:color="auto"/>
                <w:left w:val="none" w:sz="0" w:space="0" w:color="auto"/>
                <w:bottom w:val="none" w:sz="0" w:space="0" w:color="auto"/>
                <w:right w:val="none" w:sz="0" w:space="0" w:color="auto"/>
              </w:divBdr>
              <w:divsChild>
                <w:div w:id="13787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5788</Characters>
  <Application>Microsoft Office Word</Application>
  <DocSecurity>0</DocSecurity>
  <Lines>48</Lines>
  <Paragraphs>13</Paragraphs>
  <ScaleCrop>false</ScaleCrop>
  <Company>Microsoft</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Fromboluti</dc:creator>
  <cp:lastModifiedBy>ANC3G</cp:lastModifiedBy>
  <cp:revision>2</cp:revision>
  <dcterms:created xsi:type="dcterms:W3CDTF">2016-09-14T15:33:00Z</dcterms:created>
  <dcterms:modified xsi:type="dcterms:W3CDTF">2016-09-14T15:33:00Z</dcterms:modified>
</cp:coreProperties>
</file>